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ДЕФЕКТОВКИ</w:t>
      </w:r>
    </w:p>
    <w:p>
      <w:pPr>
        <w:jc w:val="center"/>
      </w:pPr>
      <w:r>
        <w:rPr>
          <w:color w:val="444444"/>
          <w:sz w:val="15"/>
        </w:rPr>
        <w:t>Констатация дефектов, выявленных при дефектовке автомототранспортного средства, метода их выявления и причины возникновения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дефектовки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 заказ-наряду №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Адрес места выполнения работ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государственной регистрации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7181"/>
        <w:gridCol w:w="3591"/>
      </w:tblGrid>
      <w:tr>
        <w:tc>
          <w:tcPr>
            <w:tcW w:type="dxa" w:w="718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Фамилия, имя, отчество (при наличии) или наименование организации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телефона</w:t>
            </w:r>
          </w:p>
        </w:tc>
      </w:tr>
      <w:tr>
        <w:tc>
          <w:tcPr>
            <w:tcW w:type="dxa" w:w="718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дефектовки, км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дефектовки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ОСНОВАНИЕ И УСЛОВИЯ ПРОВЕДЕНИЯ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Заявленная неисправность (со слов заказчика)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проведения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ВЫЯВЛЕННЫЕ ДЕФЕКТЫ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478"/>
        <w:gridCol w:w="2908"/>
        <w:gridCol w:w="1616"/>
        <w:gridCol w:w="1400"/>
        <w:gridCol w:w="1831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47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агрегат, деталь (артикул)</w:t>
            </w:r>
          </w:p>
        </w:tc>
        <w:tc>
          <w:tcPr>
            <w:tcW w:type="dxa" w:w="290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Характер дефекта, замеренное значение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Метод выявления</w:t>
            </w:r>
          </w:p>
        </w:tc>
        <w:tc>
          <w:tcPr>
            <w:tcW w:type="dxa" w:w="140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 или предел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Причина возникновения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</w:tbl>
    <w:p>
      <w:r>
        <w:rPr>
          <w:color w:val="333333"/>
          <w:sz w:val="15"/>
        </w:rPr>
        <w:t>В графе «Причина возникновения» указывается вывод специалиста, проводившего дефектовку: эксплуатационный износ, нарушение условий эксплуатации, аварийное повреждение, производственный дефект или следствие другого дефекта из этого же перечня. Графа заполняется только там, где причина установлена; предположения в акт не вносятся.</w:t>
      </w:r>
    </w:p>
    <w:p>
      <w:pPr>
        <w:spacing w:before="120" w:after="40"/>
      </w:pPr>
      <w:r>
        <w:rPr>
          <w:b/>
          <w:sz w:val="16"/>
        </w:rPr>
        <w:t>ЗАКЛЮЧЕНИЕ О ПРИГОДНОСТИ УЗЛОВ И ДЕТАЛЕЙ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3555"/>
        <w:gridCol w:w="2908"/>
        <w:gridCol w:w="3770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355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агрегат, деталь</w:t>
            </w:r>
          </w:p>
        </w:tc>
        <w:tc>
          <w:tcPr>
            <w:tcW w:type="dxa" w:w="290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  <w:tc>
          <w:tcPr>
            <w:tcW w:type="dxa" w:w="37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Рекомендуемое действие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555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555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555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555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555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3555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3770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ВЫВОДЫ ПО РЕЗУЛЬТАТАМ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РАЗБОРКА И ХРАНЕНИЕ СНЯТЫХ ДЕТАЛЕЙ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Автомобиль находится в разобранном (частично разобранном) состоянии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Заменённые и снятые детали переданы заказчику / хранятся у исполнителя до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устранения выявленных дефектов настоящим актом не определяется. Она оформляется отдельным документом — дефектовочной ведомостью или сметой — и согласовывается с заказчиком до начала работ; подтверждённая заказчиком смета становится частью договора.</w:t>
      </w:r>
    </w:p>
    <w:p>
      <w:r>
        <w:rPr>
          <w:sz w:val="15"/>
        </w:rPr>
        <w:t>Настоящий акт составлен по результатам дефектовки и подтверждает состояние узлов и деталей на дату его составления. С перечнем выявленных дефектов, заключением о пригодности и выводами ознакомлен. Уведомлён, что окончательный объём работ может быть уточнён после разборки и будет согласован до их выполнения.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принявшего автомобиль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Утверждённой формы акта дефектовки не существует: формы первичных учётных документов утверждает руководитель экономического субъекта (ч. 4 ст. 9 Федерального закона от 06.12.2011 № 402-ФЗ), обязательны только реквизиты из ч. 2 той же статьи. Акт констатирует состояние узлов и причину дефектов; предварительная стоимость их устранения оформляется отдельно — дефектовочной ведомостью или сметой, которая после подтверждения заказчиком становится частью договора (п. 18 Правил, утв. постановлением Правительства РФ от 29.05.2025 № 780). Разбор каждой графы — car9.ru/dokumenty/akt-defektovki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АКТ ДЕФЕКТОВКИ</w:t>
      </w:r>
    </w:p>
    <w:p>
      <w:pPr>
        <w:jc w:val="center"/>
      </w:pPr>
      <w:r>
        <w:rPr>
          <w:color w:val="444444"/>
          <w:sz w:val="15"/>
        </w:rPr>
        <w:t>Констатация дефектов, выявленных при дефектовке автомототранспортного средства, метода их выявления и причины возникновения</w:t>
      </w:r>
    </w:p>
    <w:p>
      <w:pPr>
        <w:jc w:val="center"/>
      </w:pPr>
      <w:r>
        <w:rPr>
          <w:b/>
          <w:sz w:val="16"/>
        </w:rPr>
        <w:t>ОБРАЗЕЦ ЗАПОЛНЕНИЯ — дефекты, замеры,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дефектовки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 заказ-наряду №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АД-2026-00219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от «12» августа 2026 г.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ЗН-2026-00151 от 11.08.2026</w:t>
            </w:r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ООО «Сервис на Заречной»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1234567890123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+7 900 111-22-33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Адрес места выполнения работ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государственной регистрации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г. Мурманск, ул. Заречная, д. 14, бокс 3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14.03.2019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7181"/>
        <w:gridCol w:w="3591"/>
      </w:tblGrid>
      <w:tr>
        <w:tc>
          <w:tcPr>
            <w:tcW w:type="dxa" w:w="718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Фамилия, имя, отчество (при наличии) или наименование организации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телефона</w:t>
            </w:r>
          </w:p>
        </w:tc>
      </w:tr>
      <w:tr>
        <w:tc>
          <w:tcPr>
            <w:tcW w:type="dxa" w:w="7181"/>
            <w:tcBorders>
              <w:bottom w:val="single" w:sz="4" w:color="000000"/>
            </w:tcBorders>
            <w:vAlign w:val="bottom"/>
          </w:tcPr>
          <w:p>
            <w:r>
              <w:t>Ковалёв Артём Дмитриевич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+7 900 000-00-00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Hyundai Solaris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В 456 ВВ 51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2016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дефектовки, км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дефектовки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Z94CB41AAGR000000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198 450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12.08.2026, 09:40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ОСНОВАНИЕ И УСЛОВИЯ ПРОВЕДЕНИЯ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Заявленная неисправность (со слов заказчика)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проведения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Металлический стук в двигателе на холодную, загорается лампа давления масла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осмотр с частичной разборкой: снята клапанная крышка, передняя крышка ГРМ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эндоскоп, штангенциркуль, набор щупов, компрессометр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17 снимков, приложение к акту</w:t>
            </w:r>
          </w:p>
        </w:tc>
      </w:tr>
    </w:tbl>
    <w:p>
      <w:pPr>
        <w:spacing w:before="120" w:after="40"/>
      </w:pPr>
      <w:r>
        <w:rPr>
          <w:b/>
          <w:sz w:val="16"/>
        </w:rPr>
        <w:t>ВЫЯВЛЕННЫЕ ДЕФЕКТЫ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478"/>
        <w:gridCol w:w="2908"/>
        <w:gridCol w:w="1616"/>
        <w:gridCol w:w="1400"/>
        <w:gridCol w:w="1831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47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агрегат, деталь (артикул)</w:t>
            </w:r>
          </w:p>
        </w:tc>
        <w:tc>
          <w:tcPr>
            <w:tcW w:type="dxa" w:w="290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Характер дефекта, замеренное значение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Метод выявления</w:t>
            </w:r>
          </w:p>
        </w:tc>
        <w:tc>
          <w:tcPr>
            <w:tcW w:type="dxa" w:w="140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 или предел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Причина возникновения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478"/>
          </w:tcPr>
          <w:p>
            <w:r>
              <w:t>Цепь привода ГРМ 24321-2B000</w:t>
            </w:r>
          </w:p>
        </w:tc>
        <w:tc>
          <w:tcPr>
            <w:tcW w:type="dxa" w:w="2908"/>
          </w:tcPr>
          <w:p>
            <w:r>
              <w:t>Удлинение, перескок на один зуб относительно меток</w:t>
            </w:r>
          </w:p>
        </w:tc>
        <w:tc>
          <w:tcPr>
            <w:tcW w:type="dxa" w:w="1616"/>
          </w:tcPr>
          <w:p>
            <w:r>
              <w:t>Разборка, замер по меткам</w:t>
            </w:r>
          </w:p>
        </w:tc>
        <w:tc>
          <w:tcPr>
            <w:tcW w:type="dxa" w:w="1400"/>
          </w:tcPr>
          <w:p>
            <w:r>
              <w:t>Метки должны совпадать</w:t>
            </w:r>
          </w:p>
        </w:tc>
        <w:tc>
          <w:tcPr>
            <w:tcW w:type="dxa" w:w="1831"/>
          </w:tcPr>
          <w:p>
            <w:r>
              <w:t>Эксплуатационный износ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478"/>
          </w:tcPr>
          <w:p>
            <w:r>
              <w:t>Натяжитель цепи ГРМ 24410-2B000</w:t>
            </w:r>
          </w:p>
        </w:tc>
        <w:tc>
          <w:tcPr>
            <w:tcW w:type="dxa" w:w="2908"/>
          </w:tcPr>
          <w:p>
            <w:r>
              <w:t>Шток вышел на предельный ход, натяжение не удерживает</w:t>
            </w:r>
          </w:p>
        </w:tc>
        <w:tc>
          <w:tcPr>
            <w:tcW w:type="dxa" w:w="1616"/>
          </w:tcPr>
          <w:p>
            <w:r>
              <w:t>Разборка, осмотр</w:t>
            </w:r>
          </w:p>
        </w:tc>
        <w:tc>
          <w:tcPr>
            <w:tcW w:type="dxa" w:w="1400"/>
          </w:tcPr>
          <w:p>
            <w:r>
              <w:t>Ход штока до 12 мм</w:t>
            </w:r>
          </w:p>
        </w:tc>
        <w:tc>
          <w:tcPr>
            <w:tcW w:type="dxa" w:w="1831"/>
          </w:tcPr>
          <w:p>
            <w:r>
              <w:t>Эксплуатационный износ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478"/>
          </w:tcPr>
          <w:p>
            <w:r>
              <w:t>Башмак-успокоитель цепи 24431-2B000</w:t>
            </w:r>
          </w:p>
        </w:tc>
        <w:tc>
          <w:tcPr>
            <w:tcW w:type="dxa" w:w="2908"/>
          </w:tcPr>
          <w:p>
            <w:r>
              <w:t>Выработка рабочей поверхности 3,5 мм</w:t>
            </w:r>
          </w:p>
        </w:tc>
        <w:tc>
          <w:tcPr>
            <w:tcW w:type="dxa" w:w="1616"/>
          </w:tcPr>
          <w:p>
            <w:r>
              <w:t>Замер штангенциркулем</w:t>
            </w:r>
          </w:p>
        </w:tc>
        <w:tc>
          <w:tcPr>
            <w:tcW w:type="dxa" w:w="1400"/>
          </w:tcPr>
          <w:p>
            <w:r>
              <w:t>Не более 1,0 мм</w:t>
            </w:r>
          </w:p>
        </w:tc>
        <w:tc>
          <w:tcPr>
            <w:tcW w:type="dxa" w:w="1831"/>
          </w:tcPr>
          <w:p>
            <w:r>
              <w:t>Эксплуатационный износ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478"/>
          </w:tcPr>
          <w:p>
            <w:r>
              <w:t>Свеча зажигания 1-го цилиндра</w:t>
            </w:r>
          </w:p>
        </w:tc>
        <w:tc>
          <w:tcPr>
            <w:tcW w:type="dxa" w:w="2908"/>
          </w:tcPr>
          <w:p>
            <w:r>
              <w:t>Разрушение керамического изолятора</w:t>
            </w:r>
          </w:p>
        </w:tc>
        <w:tc>
          <w:tcPr>
            <w:tcW w:type="dxa" w:w="1616"/>
          </w:tcPr>
          <w:p>
            <w:r>
              <w:t>Осмотр после выкручивания</w:t>
            </w:r>
          </w:p>
        </w:tc>
        <w:tc>
          <w:tcPr>
            <w:tcW w:type="dxa" w:w="1400"/>
          </w:tcPr>
          <w:p>
            <w:r>
              <w:t>Разрушение не допускается</w:t>
            </w:r>
          </w:p>
        </w:tc>
        <w:tc>
          <w:tcPr>
            <w:tcW w:type="dxa" w:w="1831"/>
          </w:tcPr>
          <w:p>
            <w:r>
              <w:t>Аварийный, единичный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478"/>
          </w:tcPr>
          <w:p>
            <w:r>
              <w:t>Поршень 1-го цилиндра</w:t>
            </w:r>
          </w:p>
        </w:tc>
        <w:tc>
          <w:tcPr>
            <w:tcW w:type="dxa" w:w="2908"/>
          </w:tcPr>
          <w:p>
            <w:r>
              <w:t>Задиры на юбке глубиной до 0,3 мм</w:t>
            </w:r>
          </w:p>
        </w:tc>
        <w:tc>
          <w:tcPr>
            <w:tcW w:type="dxa" w:w="1616"/>
          </w:tcPr>
          <w:p>
            <w:r>
              <w:t>Осмотр эндоскопом через свечное отверстие</w:t>
            </w:r>
          </w:p>
        </w:tc>
        <w:tc>
          <w:tcPr>
            <w:tcW w:type="dxa" w:w="1400"/>
          </w:tcPr>
          <w:p>
            <w:r>
              <w:t>Задиры не допускаются</w:t>
            </w:r>
          </w:p>
        </w:tc>
        <w:tc>
          <w:tcPr>
            <w:tcW w:type="dxa" w:w="1831"/>
          </w:tcPr>
          <w:p>
            <w:r>
              <w:t>Следствие дефекта поз. 4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478"/>
          </w:tcPr>
          <w:p>
            <w:r>
              <w:t>Масло моторное в картере</w:t>
            </w:r>
          </w:p>
        </w:tc>
        <w:tc>
          <w:tcPr>
            <w:tcW w:type="dxa" w:w="2908"/>
          </w:tcPr>
          <w:p>
            <w:r>
              <w:t>Уровень ниже отметки MIN, металлическая взвесь на щупе</w:t>
            </w:r>
          </w:p>
        </w:tc>
        <w:tc>
          <w:tcPr>
            <w:tcW w:type="dxa" w:w="1616"/>
          </w:tcPr>
          <w:p>
            <w:r>
              <w:t>Осмотр</w:t>
            </w:r>
          </w:p>
        </w:tc>
        <w:tc>
          <w:tcPr>
            <w:tcW w:type="dxa" w:w="1400"/>
          </w:tcPr>
          <w:p>
            <w:r>
              <w:t>Уровень между MIN и MAX</w:t>
            </w:r>
          </w:p>
        </w:tc>
        <w:tc>
          <w:tcPr>
            <w:tcW w:type="dxa" w:w="1831"/>
          </w:tcPr>
          <w:p>
            <w:r>
              <w:t>Нарушение условий эксплуатации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478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1400"/>
          </w:tcPr>
          <w:p>
            <w:r/>
          </w:p>
        </w:tc>
        <w:tc>
          <w:tcPr>
            <w:tcW w:type="dxa" w:w="1831"/>
          </w:tcPr>
          <w:p>
            <w:r/>
          </w:p>
        </w:tc>
      </w:tr>
    </w:tbl>
    <w:p>
      <w:r>
        <w:rPr>
          <w:color w:val="333333"/>
          <w:sz w:val="15"/>
        </w:rPr>
        <w:t>В графе «Причина возникновения» указывается вывод специалиста, проводившего дефектовку: эксплуатационный износ, нарушение условий эксплуатации, аварийное повреждение, производственный дефект или следствие другого дефекта из этого же перечня. Графа заполняется только там, где причина установлена; предположения в акт не вносятся.</w:t>
      </w:r>
    </w:p>
    <w:p>
      <w:pPr>
        <w:spacing w:before="120" w:after="40"/>
      </w:pPr>
      <w:r>
        <w:rPr>
          <w:b/>
          <w:sz w:val="16"/>
        </w:rPr>
        <w:t>ЗАКЛЮЧЕНИЕ О ПРИГОДНОСТИ УЗЛОВ И ДЕТАЛЕЙ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3555"/>
        <w:gridCol w:w="2908"/>
        <w:gridCol w:w="3770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355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агрегат, деталь</w:t>
            </w:r>
          </w:p>
        </w:tc>
        <w:tc>
          <w:tcPr>
            <w:tcW w:type="dxa" w:w="290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  <w:tc>
          <w:tcPr>
            <w:tcW w:type="dxa" w:w="37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Рекомендуемое действие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555"/>
          </w:tcPr>
          <w:p>
            <w:r>
              <w:t>Цепь ГРМ с натяжителем и успокоителем</w:t>
            </w:r>
          </w:p>
        </w:tc>
        <w:tc>
          <w:tcPr>
            <w:tcW w:type="dxa" w:w="2908"/>
          </w:tcPr>
          <w:p>
            <w:r>
              <w:t>Непригодны к дальнейшей эксплуатации</w:t>
            </w:r>
          </w:p>
        </w:tc>
        <w:tc>
          <w:tcPr>
            <w:tcW w:type="dxa" w:w="3770"/>
          </w:tcPr>
          <w:p>
            <w:r>
              <w:t>Замена комплектом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555"/>
          </w:tcPr>
          <w:p>
            <w:r>
              <w:t>Поршневая группа 1-го цилиндра</w:t>
            </w:r>
          </w:p>
        </w:tc>
        <w:tc>
          <w:tcPr>
            <w:tcW w:type="dxa" w:w="2908"/>
          </w:tcPr>
          <w:p>
            <w:r>
              <w:t>Требует полной разборки двигателя для оценки</w:t>
            </w:r>
          </w:p>
        </w:tc>
        <w:tc>
          <w:tcPr>
            <w:tcW w:type="dxa" w:w="3770"/>
          </w:tcPr>
          <w:p>
            <w:r>
              <w:t>Разборка ДВС, повторная дефектовка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555"/>
          </w:tcPr>
          <w:p>
            <w:r>
              <w:t>Свеча зажигания 1-го цилиндра</w:t>
            </w:r>
          </w:p>
        </w:tc>
        <w:tc>
          <w:tcPr>
            <w:tcW w:type="dxa" w:w="2908"/>
          </w:tcPr>
          <w:p>
            <w:r>
              <w:t>Непригодна</w:t>
            </w:r>
          </w:p>
        </w:tc>
        <w:tc>
          <w:tcPr>
            <w:tcW w:type="dxa" w:w="3770"/>
          </w:tcPr>
          <w:p>
            <w:r>
              <w:t>Замена, проверка остальных цилиндров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555"/>
          </w:tcPr>
          <w:p>
            <w:r>
              <w:t>Головка блока цилиндров</w:t>
            </w:r>
          </w:p>
        </w:tc>
        <w:tc>
          <w:tcPr>
            <w:tcW w:type="dxa" w:w="2908"/>
          </w:tcPr>
          <w:p>
            <w:r>
              <w:t>Дефектов не выявлено</w:t>
            </w:r>
          </w:p>
        </w:tc>
        <w:tc>
          <w:tcPr>
            <w:tcW w:type="dxa" w:w="3770"/>
          </w:tcPr>
          <w:p>
            <w:r>
              <w:t>Оставить, повторно осмотреть после разборки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555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3770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3555"/>
          </w:tcPr>
          <w:p>
            <w:r/>
          </w:p>
        </w:tc>
        <w:tc>
          <w:tcPr>
            <w:tcW w:type="dxa" w:w="2908"/>
          </w:tcPr>
          <w:p>
            <w:r/>
          </w:p>
        </w:tc>
        <w:tc>
          <w:tcPr>
            <w:tcW w:type="dxa" w:w="3770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ВЫВОДЫ ПО РЕЗУЛЬТАТАМ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Эксплуатация автомобиля до устранения дефектов поз. 1–3 не рекомендуется: перескок цепи ГРМ на два и более зуба приводит к встрече клапанов с поршнями. Окончательный объём ремонта определяется после разборки двигателя и повторной дефектовки, о чём заказчик уведомлён.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РАЗБОРКА И ХРАНЕНИЕ СНЯТЫХ ДЕТАЛЕЙ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Автомобиль находится в разобранном (частично разобранном) состоянии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Заменённые и снятые детали переданы заказчику / хранятся у исполнителя до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да, сняты клапанная и передняя крышки ГРМ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хранятся у исполнителя до 26.08.2026</w:t>
            </w:r>
          </w:p>
        </w:tc>
      </w:tr>
    </w:tbl>
    <w:p>
      <w:r>
        <w:rPr>
          <w:color w:val="333333"/>
          <w:sz w:val="15"/>
        </w:rPr>
        <w:t>Стоимость устранения выявленных дефектов настоящим актом не определяется. Она оформляется отдельным документом — дефектовочной ведомостью или сметой — и согласовывается с заказчиком до начала работ; подтверждённая заказчиком смета становится частью договора.</w:t>
      </w:r>
    </w:p>
    <w:p>
      <w:r>
        <w:rPr>
          <w:sz w:val="15"/>
        </w:rPr>
        <w:t>Настоящий акт составлен по результатам дефектовки и подтверждает состояние узлов и деталей на дату его составления. С перечнем выявленных дефектов, заключением о пригодности и выводами ознакомлен. Уведомлён, что окончательный объём работ может быть уточнён после разборки и будет согласован до их выполнения.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принявшего автомобиль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Мастер-диагност Сидоров В. Н.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Мастер-приёмщик Ильина Е. А.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Ковалёв А. Д.</w:t>
            </w:r>
          </w:p>
        </w:tc>
      </w:tr>
    </w:tbl>
    <w:p>
      <w:r>
        <w:rPr>
          <w:color w:val="666666"/>
          <w:sz w:val="14"/>
        </w:rPr>
        <w:t>Утверждённой формы акта дефектовки не существует: формы первичных учётных документов утверждает руководитель экономического субъекта (ч. 4 ст. 9 Федерального закона от 06.12.2011 № 402-ФЗ), обязательны только реквизиты из ч. 2 той же статьи. Акт констатирует состояние узлов и причину дефектов; предварительная стоимость их устранения оформляется отдельно — дефектовочной ведомостью или сметой, которая после подтверждения заказчиком становится частью договора (п. 18 Правил, утв. постановлением Правительства РФ от 29.05.2025 № 780). Разбор каждой графы — car9.ru/dokumenty/akt-defektovki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