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АКТ ДЕФЕКТОВКИ УЗЛА (ДЕТАЛИ)</w:t>
      </w:r>
    </w:p>
    <w:p>
      <w:pPr>
        <w:jc w:val="center"/>
      </w:pPr>
      <w:r>
        <w:rPr>
          <w:color w:val="444444"/>
          <w:sz w:val="15"/>
        </w:rPr>
        <w:t>Дефектовка отдельного узла, агрегата или детали автомобиля: идентификация узла, выполненные проверки с методами и нормами, выявленные дефекты, причина и заключение о пригодности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5386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Основание для дефектовки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ЗАКАЗЧИК И АВТОМОБИЛЬ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4309"/>
        <w:gridCol w:w="2154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заказчика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 автомобиля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7181"/>
        <w:gridCol w:w="3591"/>
      </w:tblGrid>
      <w:tr>
        <w:tc>
          <w:tcPr>
            <w:tcW w:type="dxa" w:w="718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автомобиля, км</w:t>
            </w:r>
          </w:p>
        </w:tc>
      </w:tr>
      <w:tr>
        <w:tc>
          <w:tcPr>
            <w:tcW w:type="dxa" w:w="718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УЗЕЛ (ДЕТАЛЬ), ПОСТУПИВШИЙ НА ДЕФЕКТОВКУ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узла или детали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Каталожный номер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Производитель и маркировка на корпусе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Откуда поступил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установки, если известна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на момент установки, км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Каталожный номер, маркировка и происхождение узла — не формальность: без них через полгода невозможно доказать, что дефектовался именно этот узел, а не похожий. Если узел предоставлен заказчиком и снят не в нашем сервисе, это указывается прямо: сервис отвечает за состояние того, что получил, а не за то, что происходило с узлом до передачи.</w:t>
      </w:r>
    </w:p>
    <w:p>
      <w:pPr>
        <w:spacing w:before="120" w:after="40"/>
      </w:pPr>
      <w:r>
        <w:rPr>
          <w:b/>
          <w:sz w:val="16"/>
        </w:rPr>
        <w:t>УСЛОВИЯ ПРОВЕДЕНИЯ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проведения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Объём разборки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ВЫПОЛНЕННЫЕ ПРОВЕРКИ И ИХ РЕЗУЛЬТАТЫ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431"/>
        <w:gridCol w:w="2047"/>
        <w:gridCol w:w="2585"/>
        <w:gridCol w:w="1724"/>
        <w:gridCol w:w="1724"/>
        <w:gridCol w:w="2262"/>
      </w:tblGrid>
      <w:tr>
        <w:tc>
          <w:tcPr>
            <w:tcW w:type="dxa" w:w="4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Элемент узла</w:t>
            </w:r>
          </w:p>
        </w:tc>
        <w:tc>
          <w:tcPr>
            <w:tcW w:type="dxa" w:w="2585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Что проверялось и чем</w:t>
            </w:r>
          </w:p>
        </w:tc>
        <w:tc>
          <w:tcPr>
            <w:tcW w:type="dxa" w:w="172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 (предел)</w:t>
            </w:r>
          </w:p>
        </w:tc>
        <w:tc>
          <w:tcPr>
            <w:tcW w:type="dxa" w:w="172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Фактически</w:t>
            </w:r>
          </w:p>
        </w:tc>
        <w:tc>
          <w:tcPr>
            <w:tcW w:type="dxa" w:w="22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047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2262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047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2262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047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2262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047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2262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047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2262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047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2262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047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2262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047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2262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2047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2262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047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2262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ВЫЯВЛЕННЫЕ ДЕФЕКТЫ И ИХ ПРИЧИНЫ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3016"/>
        <w:gridCol w:w="3447"/>
        <w:gridCol w:w="3770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30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Дефект (позиция выше)</w:t>
            </w:r>
          </w:p>
        </w:tc>
        <w:tc>
          <w:tcPr>
            <w:tcW w:type="dxa" w:w="34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Установленная причина</w:t>
            </w:r>
          </w:p>
        </w:tc>
        <w:tc>
          <w:tcPr>
            <w:tcW w:type="dxa" w:w="37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 чём основан вывод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016"/>
          </w:tcPr>
          <w:p>
            <w:r/>
          </w:p>
        </w:tc>
        <w:tc>
          <w:tcPr>
            <w:tcW w:type="dxa" w:w="3447"/>
          </w:tcPr>
          <w:p>
            <w:r/>
          </w:p>
        </w:tc>
        <w:tc>
          <w:tcPr>
            <w:tcW w:type="dxa" w:w="3770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3016"/>
          </w:tcPr>
          <w:p>
            <w:r/>
          </w:p>
        </w:tc>
        <w:tc>
          <w:tcPr>
            <w:tcW w:type="dxa" w:w="3447"/>
          </w:tcPr>
          <w:p>
            <w:r/>
          </w:p>
        </w:tc>
        <w:tc>
          <w:tcPr>
            <w:tcW w:type="dxa" w:w="3770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3016"/>
          </w:tcPr>
          <w:p>
            <w:r/>
          </w:p>
        </w:tc>
        <w:tc>
          <w:tcPr>
            <w:tcW w:type="dxa" w:w="3447"/>
          </w:tcPr>
          <w:p>
            <w:r/>
          </w:p>
        </w:tc>
        <w:tc>
          <w:tcPr>
            <w:tcW w:type="dxa" w:w="3770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3016"/>
          </w:tcPr>
          <w:p>
            <w:r/>
          </w:p>
        </w:tc>
        <w:tc>
          <w:tcPr>
            <w:tcW w:type="dxa" w:w="3447"/>
          </w:tcPr>
          <w:p>
            <w:r/>
          </w:p>
        </w:tc>
        <w:tc>
          <w:tcPr>
            <w:tcW w:type="dxa" w:w="3770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3016"/>
          </w:tcPr>
          <w:p>
            <w:r/>
          </w:p>
        </w:tc>
        <w:tc>
          <w:tcPr>
            <w:tcW w:type="dxa" w:w="3447"/>
          </w:tcPr>
          <w:p>
            <w:r/>
          </w:p>
        </w:tc>
        <w:tc>
          <w:tcPr>
            <w:tcW w:type="dxa" w:w="3770"/>
          </w:tcPr>
          <w:p>
            <w:r/>
          </w:p>
        </w:tc>
      </w:tr>
    </w:tbl>
    <w:p>
      <w:r>
        <w:rPr>
          <w:color w:val="333333"/>
          <w:sz w:val="15"/>
        </w:rPr>
        <w:t>«Причина не установлена» — допустимая и честная запись, в отличие от «вероятно» и «предположительно». Причина указывается там, где она установлена разборкой, замером или связью с другим дефектом; написанная наугад, она роняет достоверность всего акта, а «производственный дефект» без оснований — это уже утверждение против изготовителя узла.</w:t>
      </w:r>
    </w:p>
    <w:p>
      <w:pPr>
        <w:spacing w:before="120" w:after="40"/>
      </w:pPr>
      <w:r>
        <w:rPr>
          <w:b/>
          <w:sz w:val="16"/>
        </w:rPr>
        <w:t>ЗАКЛЮЧЕНИЕ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Пригодность узла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Ремонт или замена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Требуется дополнительная дефектовка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Сопутствующие работы, без которых ремонт бессмыслен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Судьба снятых деталей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ЗАКЛЮЧЕНИЕ ПО РЕЗУЛЬТАТАМ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Стоимость восстановления настоящим актом не определяется и оформляется дефектовочной ведомостью, сметой или заказ-нарядом. Заключение о пригодности относится только к тому узлу, который указан в разделе идентификации, и только на дату дефектовки.</w:t>
      </w:r>
    </w:p>
    <w:p>
      <w:r>
        <w:rPr>
          <w:sz w:val="15"/>
        </w:rPr>
        <w:t>Дефектовка проведена в присутствии заказчика или его представителя. С перечнем выполненных проверок, выявленными дефектами и заключением о пригодности узла ознакомлен, экземпляр акта получен.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дефектовку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второго участника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или представителя, Ф. И. О.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/>
          </w:p>
        </w:tc>
      </w:tr>
    </w:tbl>
    <w:p>
      <w:r>
        <w:rPr>
          <w:color w:val="666666"/>
          <w:sz w:val="14"/>
        </w:rPr>
        <w:t>Утверждённой формы акта дефектовки не существует: формы первичных учётных документов утверждает руководитель экономического субъекта (ч. 4 ст. 9 Федерального закона от 06.12.2011 № 402-ФЗ), унифицированные формы с 2013 года необязательны, обязательны только реквизиты из ч. 2 той же статьи. Нормы, допуски и пределы износа берутся из документации на конкретный узел или руководства по ремонту автомобиля. Акт констатирует состояние узла и не определяет стоимость его восстановления. Разбор каждой графы — car9.ru/dokumenty/defektovka-uzlov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АКТ ДЕФЕКТОВКИ УЗЛА (ДЕТАЛИ)</w:t>
      </w:r>
    </w:p>
    <w:p>
      <w:pPr>
        <w:jc w:val="center"/>
      </w:pPr>
      <w:r>
        <w:rPr>
          <w:color w:val="444444"/>
          <w:sz w:val="15"/>
        </w:rPr>
        <w:t>Дефектовка отдельного узла, агрегата или детали автомобиля: идентификация узла, выполненные проверки с методами и нормами, выявленные дефекты, причина и заключение о пригодности</w:t>
      </w:r>
    </w:p>
    <w:p>
      <w:pPr>
        <w:jc w:val="center"/>
      </w:pPr>
      <w:r>
        <w:rPr>
          <w:b/>
          <w:sz w:val="16"/>
        </w:rPr>
        <w:t>ОБРАЗЕЦ ЗАПОЛНЕНИЯ — замеры, номера и фамилии условные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5386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Основание для дефектовки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ДУ-2026-00073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от «15» августа 2026 г.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заявка № 131: не заряжает АКБ, лампа заряда горит на холостых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ЗАКАЗЧИК И АВТОМОБИЛЬ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4309"/>
        <w:gridCol w:w="2154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заказчика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 автомобиля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Никитин Сергей Владимирович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Kia Rio, седан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А 123 ВС 51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7181"/>
        <w:gridCol w:w="3591"/>
      </w:tblGrid>
      <w:tr>
        <w:tc>
          <w:tcPr>
            <w:tcW w:type="dxa" w:w="718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автомобиля, км</w:t>
            </w:r>
          </w:p>
        </w:tc>
      </w:tr>
      <w:tr>
        <w:tc>
          <w:tcPr>
            <w:tcW w:type="dxa" w:w="7181"/>
            <w:tcBorders>
              <w:bottom w:val="single" w:sz="4" w:color="000000"/>
            </w:tcBorders>
            <w:vAlign w:val="bottom"/>
          </w:tcPr>
          <w:p>
            <w:r>
              <w:t>Z94C241BAKR000000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141 800</w:t>
            </w:r>
          </w:p>
        </w:tc>
      </w:tr>
    </w:tbl>
    <w:p>
      <w:pPr>
        <w:spacing w:before="120" w:after="40"/>
      </w:pPr>
      <w:r>
        <w:rPr>
          <w:b/>
          <w:sz w:val="16"/>
        </w:rPr>
        <w:t>УЗЕЛ (ДЕТАЛЬ), ПОСТУПИВШИЙ НА ДЕФЕКТОВКУ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узла или детали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Каталожный номер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Производитель и маркировка на корпусе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Генератор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37300-2B300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Valeo, 90 A, серийный 2119-004417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Откуда поступил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установки, если известна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на момент установки, км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снят с автомобиля заказчика в нашем сервисе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14.03.2024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96 500</w:t>
            </w:r>
          </w:p>
        </w:tc>
      </w:tr>
    </w:tbl>
    <w:p>
      <w:r>
        <w:rPr>
          <w:color w:val="333333"/>
          <w:sz w:val="15"/>
        </w:rPr>
        <w:t>Каталожный номер, маркировка и происхождение узла — не формальность: без них через полгода невозможно доказать, что дефектовался именно этот узел, а не похожий. Если узел предоставлен заказчиком и снят не в нашем сервисе, это указывается прямо: сервис отвечает за состояние того, что получил, а не за то, что происходило с узлом до передачи.</w:t>
      </w:r>
    </w:p>
    <w:p>
      <w:pPr>
        <w:spacing w:before="120" w:after="40"/>
      </w:pPr>
      <w:r>
        <w:rPr>
          <w:b/>
          <w:sz w:val="16"/>
        </w:rPr>
        <w:t>УСЛОВИЯ ПРОВЕДЕНИЯ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проведения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Объём разборки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г. Мурманск, ул. Заречная, д. 14, пост № 3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15.08.2026, 11:00–13:20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генератор снят и разобран полностью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стенд проверки генераторов, мультиметр, мегаомметр, микрометр, штангенциркуль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11 снимков, приложение к акту</w:t>
            </w:r>
          </w:p>
        </w:tc>
      </w:tr>
    </w:tbl>
    <w:p>
      <w:pPr>
        <w:spacing w:before="120" w:after="40"/>
      </w:pPr>
      <w:r>
        <w:rPr>
          <w:b/>
          <w:sz w:val="16"/>
        </w:rPr>
        <w:t>ВЫПОЛНЕННЫЕ ПРОВЕРКИ И ИХ РЕЗУЛЬТАТЫ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431"/>
        <w:gridCol w:w="2047"/>
        <w:gridCol w:w="2585"/>
        <w:gridCol w:w="1724"/>
        <w:gridCol w:w="1724"/>
        <w:gridCol w:w="2262"/>
      </w:tblGrid>
      <w:tr>
        <w:tc>
          <w:tcPr>
            <w:tcW w:type="dxa" w:w="4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Элемент узла</w:t>
            </w:r>
          </w:p>
        </w:tc>
        <w:tc>
          <w:tcPr>
            <w:tcW w:type="dxa" w:w="2585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Что проверялось и чем</w:t>
            </w:r>
          </w:p>
        </w:tc>
        <w:tc>
          <w:tcPr>
            <w:tcW w:type="dxa" w:w="172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 (предел)</w:t>
            </w:r>
          </w:p>
        </w:tc>
        <w:tc>
          <w:tcPr>
            <w:tcW w:type="dxa" w:w="172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Фактически</w:t>
            </w:r>
          </w:p>
        </w:tc>
        <w:tc>
          <w:tcPr>
            <w:tcW w:type="dxa" w:w="22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047"/>
          </w:tcPr>
          <w:p>
            <w:r>
              <w:t>Выходное напряжение</w:t>
            </w:r>
          </w:p>
        </w:tc>
        <w:tc>
          <w:tcPr>
            <w:tcW w:type="dxa" w:w="2585"/>
          </w:tcPr>
          <w:p>
            <w:r>
              <w:t>Замер на стенде под нагрузкой, мультиметр</w:t>
            </w:r>
          </w:p>
        </w:tc>
        <w:tc>
          <w:tcPr>
            <w:tcW w:type="dxa" w:w="1724"/>
          </w:tcPr>
          <w:p>
            <w:r>
              <w:t>13,8–14,6 В</w:t>
            </w:r>
          </w:p>
        </w:tc>
        <w:tc>
          <w:tcPr>
            <w:tcW w:type="dxa" w:w="1724"/>
          </w:tcPr>
          <w:p>
            <w:r>
              <w:t>12,3 В под нагрузкой</w:t>
            </w:r>
          </w:p>
        </w:tc>
        <w:tc>
          <w:tcPr>
            <w:tcW w:type="dxa" w:w="2262"/>
          </w:tcPr>
          <w:p>
            <w:r>
              <w:t>Не соответствует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047"/>
          </w:tcPr>
          <w:p>
            <w:r>
              <w:t>Регулятор напряжения</w:t>
            </w:r>
          </w:p>
        </w:tc>
        <w:tc>
          <w:tcPr>
            <w:tcW w:type="dxa" w:w="2585"/>
          </w:tcPr>
          <w:p>
            <w:r>
              <w:t>Осмотр, проверка на стенде</w:t>
            </w:r>
          </w:p>
        </w:tc>
        <w:tc>
          <w:tcPr>
            <w:tcW w:type="dxa" w:w="1724"/>
          </w:tcPr>
          <w:p>
            <w:r>
              <w:t>исправен</w:t>
            </w:r>
          </w:p>
        </w:tc>
        <w:tc>
          <w:tcPr>
            <w:tcW w:type="dxa" w:w="1724"/>
          </w:tcPr>
          <w:p>
            <w:r>
              <w:t>не удерживает напряжение</w:t>
            </w:r>
          </w:p>
        </w:tc>
        <w:tc>
          <w:tcPr>
            <w:tcW w:type="dxa" w:w="2262"/>
          </w:tcPr>
          <w:p>
            <w:r>
              <w:t>Неисправен, замена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047"/>
          </w:tcPr>
          <w:p>
            <w:r>
              <w:t>Щётки</w:t>
            </w:r>
          </w:p>
        </w:tc>
        <w:tc>
          <w:tcPr>
            <w:tcW w:type="dxa" w:w="2585"/>
          </w:tcPr>
          <w:p>
            <w:r>
              <w:t>Замер длины, штангенциркуль</w:t>
            </w:r>
          </w:p>
        </w:tc>
        <w:tc>
          <w:tcPr>
            <w:tcW w:type="dxa" w:w="1724"/>
          </w:tcPr>
          <w:p>
            <w:r>
              <w:t>не менее 5,0 мм</w:t>
            </w:r>
          </w:p>
        </w:tc>
        <w:tc>
          <w:tcPr>
            <w:tcW w:type="dxa" w:w="1724"/>
          </w:tcPr>
          <w:p>
            <w:r>
              <w:t>2,1 мм</w:t>
            </w:r>
          </w:p>
        </w:tc>
        <w:tc>
          <w:tcPr>
            <w:tcW w:type="dxa" w:w="2262"/>
          </w:tcPr>
          <w:p>
            <w:r>
              <w:t>Износ выше предела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047"/>
          </w:tcPr>
          <w:p>
            <w:r>
              <w:t>Контактные кольца</w:t>
            </w:r>
          </w:p>
        </w:tc>
        <w:tc>
          <w:tcPr>
            <w:tcW w:type="dxa" w:w="2585"/>
          </w:tcPr>
          <w:p>
            <w:r>
              <w:t>Осмотр, замер выработки</w:t>
            </w:r>
          </w:p>
        </w:tc>
        <w:tc>
          <w:tcPr>
            <w:tcW w:type="dxa" w:w="1724"/>
          </w:tcPr>
          <w:p>
            <w:r>
              <w:t>без выработки, до 0,2 мм</w:t>
            </w:r>
          </w:p>
        </w:tc>
        <w:tc>
          <w:tcPr>
            <w:tcW w:type="dxa" w:w="1724"/>
          </w:tcPr>
          <w:p>
            <w:r>
              <w:t>выработка 0,5 мм</w:t>
            </w:r>
          </w:p>
        </w:tc>
        <w:tc>
          <w:tcPr>
            <w:tcW w:type="dxa" w:w="2262"/>
          </w:tcPr>
          <w:p>
            <w:r>
              <w:t>Требуется проточка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047"/>
          </w:tcPr>
          <w:p>
            <w:r>
              <w:t>Диодный мост</w:t>
            </w:r>
          </w:p>
        </w:tc>
        <w:tc>
          <w:tcPr>
            <w:tcW w:type="dxa" w:w="2585"/>
          </w:tcPr>
          <w:p>
            <w:r>
              <w:t>Прозвонка диодов в обе стороны</w:t>
            </w:r>
          </w:p>
        </w:tc>
        <w:tc>
          <w:tcPr>
            <w:tcW w:type="dxa" w:w="1724"/>
          </w:tcPr>
          <w:p>
            <w:r>
              <w:t>все диоды исправны</w:t>
            </w:r>
          </w:p>
        </w:tc>
        <w:tc>
          <w:tcPr>
            <w:tcW w:type="dxa" w:w="1724"/>
          </w:tcPr>
          <w:p>
            <w:r>
              <w:t>пробой одного диода</w:t>
            </w:r>
          </w:p>
        </w:tc>
        <w:tc>
          <w:tcPr>
            <w:tcW w:type="dxa" w:w="2262"/>
          </w:tcPr>
          <w:p>
            <w:r>
              <w:t>Неисправен, замена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047"/>
          </w:tcPr>
          <w:p>
            <w:r>
              <w:t>Обмотка статора</w:t>
            </w:r>
          </w:p>
        </w:tc>
        <w:tc>
          <w:tcPr>
            <w:tcW w:type="dxa" w:w="2585"/>
          </w:tcPr>
          <w:p>
            <w:r>
              <w:t>Сопротивление, замыкание на корпус, мегаомметр</w:t>
            </w:r>
          </w:p>
        </w:tc>
        <w:tc>
          <w:tcPr>
            <w:tcW w:type="dxa" w:w="1724"/>
          </w:tcPr>
          <w:p>
            <w:r>
              <w:t>без замыканий и обрывов</w:t>
            </w:r>
          </w:p>
        </w:tc>
        <w:tc>
          <w:tcPr>
            <w:tcW w:type="dxa" w:w="1724"/>
          </w:tcPr>
          <w:p>
            <w:r>
              <w:t>замыканий не выявлено</w:t>
            </w:r>
          </w:p>
        </w:tc>
        <w:tc>
          <w:tcPr>
            <w:tcW w:type="dxa" w:w="2262"/>
          </w:tcPr>
          <w:p>
            <w:r>
              <w:t>Годна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047"/>
          </w:tcPr>
          <w:p>
            <w:r>
              <w:t>Обмотка ротора</w:t>
            </w:r>
          </w:p>
        </w:tc>
        <w:tc>
          <w:tcPr>
            <w:tcW w:type="dxa" w:w="2585"/>
          </w:tcPr>
          <w:p>
            <w:r>
              <w:t>Сопротивление, межвитковое замыкание</w:t>
            </w:r>
          </w:p>
        </w:tc>
        <w:tc>
          <w:tcPr>
            <w:tcW w:type="dxa" w:w="1724"/>
          </w:tcPr>
          <w:p>
            <w:r>
              <w:t>по документации</w:t>
            </w:r>
          </w:p>
        </w:tc>
        <w:tc>
          <w:tcPr>
            <w:tcW w:type="dxa" w:w="1724"/>
          </w:tcPr>
          <w:p>
            <w:r>
              <w:t>в пределах нормы</w:t>
            </w:r>
          </w:p>
        </w:tc>
        <w:tc>
          <w:tcPr>
            <w:tcW w:type="dxa" w:w="2262"/>
          </w:tcPr>
          <w:p>
            <w:r>
              <w:t>Годна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047"/>
          </w:tcPr>
          <w:p>
            <w:r>
              <w:t>Подшипники</w:t>
            </w:r>
          </w:p>
        </w:tc>
        <w:tc>
          <w:tcPr>
            <w:tcW w:type="dxa" w:w="2585"/>
          </w:tcPr>
          <w:p>
            <w:r>
              <w:t>Проверка на люфт и шум вращения</w:t>
            </w:r>
          </w:p>
        </w:tc>
        <w:tc>
          <w:tcPr>
            <w:tcW w:type="dxa" w:w="1724"/>
          </w:tcPr>
          <w:p>
            <w:r>
              <w:t>без люфта и шума</w:t>
            </w:r>
          </w:p>
        </w:tc>
        <w:tc>
          <w:tcPr>
            <w:tcW w:type="dxa" w:w="1724"/>
          </w:tcPr>
          <w:p>
            <w:r>
              <w:t>гул переднего подшипника</w:t>
            </w:r>
          </w:p>
        </w:tc>
        <w:tc>
          <w:tcPr>
            <w:tcW w:type="dxa" w:w="2262"/>
          </w:tcPr>
          <w:p>
            <w:r>
              <w:t>Замена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2047"/>
          </w:tcPr>
          <w:p>
            <w:r>
              <w:t>Обгонная муфта шкива</w:t>
            </w:r>
          </w:p>
        </w:tc>
        <w:tc>
          <w:tcPr>
            <w:tcW w:type="dxa" w:w="2585"/>
          </w:tcPr>
          <w:p>
            <w:r>
              <w:t>Проверка хода в обе стороны</w:t>
            </w:r>
          </w:p>
        </w:tc>
        <w:tc>
          <w:tcPr>
            <w:tcW w:type="dxa" w:w="1724"/>
          </w:tcPr>
          <w:p>
            <w:r>
              <w:t>свободный ход в одну сторону</w:t>
            </w:r>
          </w:p>
        </w:tc>
        <w:tc>
          <w:tcPr>
            <w:tcW w:type="dxa" w:w="1724"/>
          </w:tcPr>
          <w:p>
            <w:r>
              <w:t>заклинена, вращается в обе</w:t>
            </w:r>
          </w:p>
        </w:tc>
        <w:tc>
          <w:tcPr>
            <w:tcW w:type="dxa" w:w="2262"/>
          </w:tcPr>
          <w:p>
            <w:r>
              <w:t>Замена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047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1724"/>
          </w:tcPr>
          <w:p>
            <w:r/>
          </w:p>
        </w:tc>
        <w:tc>
          <w:tcPr>
            <w:tcW w:type="dxa" w:w="2262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ВЫЯВЛЕННЫЕ ДЕФЕКТЫ И ИХ ПРИЧИНЫ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3016"/>
        <w:gridCol w:w="3447"/>
        <w:gridCol w:w="3770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30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Дефект (позиция выше)</w:t>
            </w:r>
          </w:p>
        </w:tc>
        <w:tc>
          <w:tcPr>
            <w:tcW w:type="dxa" w:w="34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Установленная причина</w:t>
            </w:r>
          </w:p>
        </w:tc>
        <w:tc>
          <w:tcPr>
            <w:tcW w:type="dxa" w:w="37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 чём основан вывод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016"/>
          </w:tcPr>
          <w:p>
            <w:r>
              <w:t>Износ щёток и выработка колец, поз. 3 и 4</w:t>
            </w:r>
          </w:p>
        </w:tc>
        <w:tc>
          <w:tcPr>
            <w:tcW w:type="dxa" w:w="3447"/>
          </w:tcPr>
          <w:p>
            <w:r>
              <w:t>Эксплуатационный износ</w:t>
            </w:r>
          </w:p>
        </w:tc>
        <w:tc>
          <w:tcPr>
            <w:tcW w:type="dxa" w:w="3770"/>
          </w:tcPr>
          <w:p>
            <w:r>
              <w:t>Наработка узла 45 300 км, износ равномерный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3016"/>
          </w:tcPr>
          <w:p>
            <w:r>
              <w:t>Пробой диода, поз. 5</w:t>
            </w:r>
          </w:p>
        </w:tc>
        <w:tc>
          <w:tcPr>
            <w:tcW w:type="dxa" w:w="3447"/>
          </w:tcPr>
          <w:p>
            <w:r>
              <w:t>Причина не установлена</w:t>
            </w:r>
          </w:p>
        </w:tc>
        <w:tc>
          <w:tcPr>
            <w:tcW w:type="dxa" w:w="3770"/>
          </w:tcPr>
          <w:p>
            <w:r>
              <w:t>Разборка и замеры оснований для вывода не дали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3016"/>
          </w:tcPr>
          <w:p>
            <w:r>
              <w:t>Заклинивание обгонной муфты, поз. 9</w:t>
            </w:r>
          </w:p>
        </w:tc>
        <w:tc>
          <w:tcPr>
            <w:tcW w:type="dxa" w:w="3447"/>
          </w:tcPr>
          <w:p>
            <w:r>
              <w:t>Эксплуатационный износ муфты</w:t>
            </w:r>
          </w:p>
        </w:tc>
        <w:tc>
          <w:tcPr>
            <w:tcW w:type="dxa" w:w="3770"/>
          </w:tcPr>
          <w:p>
            <w:r>
              <w:t>Характерный износ, следов внешнего воздействия нет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3016"/>
          </w:tcPr>
          <w:p>
            <w:r/>
          </w:p>
        </w:tc>
        <w:tc>
          <w:tcPr>
            <w:tcW w:type="dxa" w:w="3447"/>
          </w:tcPr>
          <w:p>
            <w:r/>
          </w:p>
        </w:tc>
        <w:tc>
          <w:tcPr>
            <w:tcW w:type="dxa" w:w="3770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3016"/>
          </w:tcPr>
          <w:p>
            <w:r/>
          </w:p>
        </w:tc>
        <w:tc>
          <w:tcPr>
            <w:tcW w:type="dxa" w:w="3447"/>
          </w:tcPr>
          <w:p>
            <w:r/>
          </w:p>
        </w:tc>
        <w:tc>
          <w:tcPr>
            <w:tcW w:type="dxa" w:w="3770"/>
          </w:tcPr>
          <w:p>
            <w:r/>
          </w:p>
        </w:tc>
      </w:tr>
    </w:tbl>
    <w:p>
      <w:r>
        <w:rPr>
          <w:color w:val="333333"/>
          <w:sz w:val="15"/>
        </w:rPr>
        <w:t>«Причина не установлена» — допустимая и честная запись, в отличие от «вероятно» и «предположительно». Причина указывается там, где она установлена разборкой, замером или связью с другим дефектом; написанная наугад, она роняет достоверность всего акта, а «производственный дефект» без оснований — это уже утверждение против изготовителя узла.</w:t>
      </w:r>
    </w:p>
    <w:p>
      <w:pPr>
        <w:spacing w:before="120" w:after="40"/>
      </w:pPr>
      <w:r>
        <w:rPr>
          <w:b/>
          <w:sz w:val="16"/>
        </w:rPr>
        <w:t>ЗАКЛЮЧЕНИЕ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Пригодность узла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Ремонт или замена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Требуется дополнительная дефектовка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ремонтопригоден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ремонт: замена регулятора, щёток, диодного моста, подшипников, шкива; проточка колец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нет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Сопутствующие работы, без которых ремонт бессмыслен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Судьба снятых деталей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проверка натяжения и состояния приводного ремня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заменённые детали переданы заказчику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ЗАКЛЮЧЕНИЕ ПО РЕЗУЛЬТАТАМ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Генератор неисправен: не обеспечивает зарядное напряжение под нагрузкой. Выявлены износ щёток ниже предела, выработка контактных колец, пробой диода выпрямительного моста, гул переднего подшипника и заклинивание обгонной муфты шкива. Узел ремонтопригоден: требуется замена регулятора напряжения, щёточного узла, диодного моста, подшипников и шкива с проточкой контактных колец. Стоимость работ и деталей настоящим актом не определяется.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Стоимость восстановления настоящим актом не определяется и оформляется дефектовочной ведомостью, сметой или заказ-нарядом. Заключение о пригодности относится только к тому узлу, который указан в разделе идентификации, и только на дату дефектовки.</w:t>
      </w:r>
    </w:p>
    <w:p>
      <w:r>
        <w:rPr>
          <w:sz w:val="15"/>
        </w:rPr>
        <w:t>Дефектовка проведена в присутствии заказчика или его представителя. С перечнем выполненных проверок, выявленными дефектами и заключением о пригодности узла ознакомлен, экземпляр акта получен.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дефектовку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второго участника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или представителя, Ф. И. О.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Автоэлектрик Сидоров В. Н.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Мастер-приёмщик Гусев П. А.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>
              <w:t>____________ Никитин С. В.</w:t>
            </w:r>
          </w:p>
        </w:tc>
      </w:tr>
    </w:tbl>
    <w:p>
      <w:r>
        <w:rPr>
          <w:color w:val="666666"/>
          <w:sz w:val="14"/>
        </w:rPr>
        <w:t>Утверждённой формы акта дефектовки не существует: формы первичных учётных документов утверждает руководитель экономического субъекта (ч. 4 ст. 9 Федерального закона от 06.12.2011 № 402-ФЗ), унифицированные формы с 2013 года необязательны, обязательны только реквизиты из ч. 2 той же статьи. Нормы, допуски и пределы износа берутся из документации на конкретный узел или руководства по ремонту автомобиля. Акт констатирует состояние узла и не определяет стоимость его восстановления. Разбор каждой графы — car9.ru/dokumenty/defektovka-uzlov</w:t>
      </w:r>
    </w:p>
    <w:sectPr w:rsidR="00FC693F" w:rsidRPr="0006063C" w:rsidSect="00034616">
      <w:pgSz w:w="11906" w:h="16838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