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АКТ ДЕФЕКТОВКИ ГРУЗОВОГО АВТОМОБИЛЯ</w:t>
      </w:r>
    </w:p>
    <w:p>
      <w:pPr>
        <w:jc w:val="center"/>
      </w:pPr>
      <w:r>
        <w:rPr>
          <w:color w:val="444444"/>
          <w:sz w:val="15"/>
        </w:rPr>
        <w:t>Выявленные при дефектовке дефекты узлов и агрегатов грузового автомобиля, прицепа или полуприцепа: метод выявления, норма или предел, причина возникновения и заключение о пригодности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дефектовки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ЗАКАЗЧИК И ВЛАДЕЛЕЦ ТЕХНИКИ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1795"/>
        <w:gridCol w:w="3591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</w:t>
            </w:r>
          </w:p>
        </w:tc>
        <w:tc>
          <w:tcPr>
            <w:tcW w:type="dxa" w:w="1795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Собственник, если техника в лизинге или аренде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1795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Тип (тягач, самосвал, фургон, автобус)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2154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Пробег, км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Наработка, моточасов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ПРИЦЕП ИЛИ ПОЛУПРИЦЕП (ЗАПОЛНЯЕТСЯ, ЕСЛИ ДЕФЕКТУЕТСЯ В СОСТАВЕ АВТОПОЕЗДА)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 прицепа или полуприцепа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VIN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Объём разборки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1831"/>
        <w:gridCol w:w="2370"/>
        <w:gridCol w:w="1831"/>
        <w:gridCol w:w="1831"/>
        <w:gridCol w:w="2478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</w:t>
            </w:r>
          </w:p>
        </w:tc>
        <w:tc>
          <w:tcPr>
            <w:tcW w:type="dxa" w:w="23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Выявленный дефект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Метод выявления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Замер и норма (предел)</w:t>
            </w:r>
          </w:p>
        </w:tc>
        <w:tc>
          <w:tcPr>
            <w:tcW w:type="dxa" w:w="247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Причина возникновения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</w:tbl>
    <w:p>
      <w:r>
        <w:rPr>
          <w:color w:val="333333"/>
          <w:sz w:val="15"/>
        </w:rPr>
        <w:t>Причина указывается только там, где она установлена разборкой, замером или следом другого дефекта. «Вероятно» и «предположительно» в акт не идут: причина, написанная наугад, роняет достоверность всего документа, а «производственный дефект» без оснований — это уже утверждение против завода-изготовителя. Дефект описывается замером и нормой там, где замер возможен: «изношено» — мнение, «0,42 мм при пределе 0,10 мм» — факт, который можно перепроверить.</w:t>
      </w:r>
    </w:p>
    <w:p>
      <w:pPr>
        <w:spacing w:before="120" w:after="40"/>
      </w:pPr>
      <w:r>
        <w:rPr>
          <w:b/>
          <w:sz w:val="16"/>
        </w:rPr>
        <w:t>ЗАКЛЮЧЕНИЕ О ПРИГОДНОСТИ УЗЛОВ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4309"/>
        <w:gridCol w:w="3232"/>
        <w:gridCol w:w="2801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30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 (позиция из таблицы выше)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  <w:tc>
          <w:tcPr>
            <w:tcW w:type="dxa" w:w="280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Снят и передан на хранение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ИТОГ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Узлов продефектовано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Признано непригодными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Требуется дополнительная дефектовка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восстановления выявленных дефектов настоящим актом не определяется и оформляется отдельным документом — дефектовочной ведомостью, сметой или заказ-нарядом. Снятые узлы и детали хранятся до решения заказчика об их судьбе; место и срок хранения указываются в акте, чтобы вопрос «где мой старый узел» не решался по памяти.</w:t>
      </w:r>
    </w:p>
    <w:p>
      <w:r>
        <w:rPr>
          <w:sz w:val="15"/>
        </w:rPr>
        <w:t>Дефектовка проведена в присутствии представителя заказчика. С перечнем дефектов, методами выявления, замерами и заключением о пригодности узлов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Должность, Ф. И. О. и подпись представителя заказчика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/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/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Акт констатирует техническое состояние узлов и не определяет стоимость их восстановления: она оформляется дефектовочной ведомостью, сметой или заказ-нарядом. Разбор каждой графы — car9.ru/dokumenty/defektovka-gruzovogo</w:t>
      </w:r>
    </w:p>
    <w:p>
      <w:r>
        <w:br w:type="page"/>
      </w:r>
    </w:p>
    <w:p>
      <w:pPr>
        <w:jc w:val="center"/>
      </w:pPr>
      <w:r>
        <w:rPr>
          <w:b/>
          <w:sz w:val="26"/>
        </w:rPr>
        <w:t>АКТ ДЕФЕКТОВКИ ГРУЗОВОГО АВТОМОБИЛЯ</w:t>
      </w:r>
    </w:p>
    <w:p>
      <w:pPr>
        <w:jc w:val="center"/>
      </w:pPr>
      <w:r>
        <w:rPr>
          <w:color w:val="444444"/>
          <w:sz w:val="15"/>
        </w:rPr>
        <w:t>Выявленные при дефектовке дефекты узлов и агрегатов грузового автомобиля, прицепа или полуприцепа: метод выявления, норма или предел, причина возникновения и заключение о пригодности</w:t>
      </w:r>
    </w:p>
    <w:p>
      <w:pPr>
        <w:jc w:val="center"/>
      </w:pPr>
      <w:r>
        <w:rPr>
          <w:b/>
          <w:sz w:val="16"/>
        </w:rPr>
        <w:t>ОБРАЗЕЦ ЗАПОЛНЕНИЯ — замеры, номера и фамилии условные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2693"/>
        <w:gridCol w:w="2693"/>
        <w:gridCol w:w="5386"/>
      </w:tblGrid>
      <w:tr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Акт №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от «___» ______________ 20___ г.</w:t>
            </w:r>
          </w:p>
        </w:tc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Основание для дефектовки</w:t>
            </w:r>
          </w:p>
        </w:tc>
      </w:tr>
      <w:tr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ДГ-2026-00042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от «15» августа 2026 г.</w:t>
            </w:r>
          </w:p>
        </w:tc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заявка № 118 от 13.08.2026, потеря тяги и стук в трансмиссии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ЗАКАЗЧИК И ВЛАДЕЛЕЦ ТЕХНИКИ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1795"/>
        <w:gridCol w:w="3591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Наименование организации или Ф. И. О.</w:t>
            </w:r>
          </w:p>
        </w:tc>
        <w:tc>
          <w:tcPr>
            <w:tcW w:type="dxa" w:w="1795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ОГРН / ОГРНИП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Собственник, если техника в лизинге или аренде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ООО «Севертранс»</w:t>
            </w:r>
          </w:p>
        </w:tc>
        <w:tc>
          <w:tcPr>
            <w:tcW w:type="dxa" w:w="1795"/>
            <w:tcBorders>
              <w:bottom w:val="single" w:sz="4" w:color="000000"/>
            </w:tcBorders>
            <w:vAlign w:val="bottom"/>
          </w:tcPr>
          <w:p>
            <w:r>
              <w:t>1145190000000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лизингодатель — АО «Лизинг-Норд», договор № ЛН-2231</w:t>
            </w:r>
          </w:p>
        </w:tc>
      </w:tr>
    </w:tbl>
    <w:p>
      <w:pPr>
        <w:spacing w:before="120" w:after="40"/>
      </w:pPr>
      <w:r>
        <w:rPr>
          <w:b/>
          <w:sz w:val="16"/>
        </w:rPr>
        <w:t>ТРАНСПОРТНОЕ СРЕДСТВО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5386"/>
        <w:gridCol w:w="2693"/>
        <w:gridCol w:w="2693"/>
      </w:tblGrid>
      <w:tr>
        <w:tc>
          <w:tcPr>
            <w:tcW w:type="dxa" w:w="5386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Тип (тягач, самосвал, фургон, автобус)</w:t>
            </w:r>
          </w:p>
        </w:tc>
        <w:tc>
          <w:tcPr>
            <w:tcW w:type="dxa" w:w="269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</w:tr>
      <w:tr>
        <w:tc>
          <w:tcPr>
            <w:tcW w:type="dxa" w:w="5386"/>
            <w:tcBorders>
              <w:bottom w:val="single" w:sz="4" w:color="000000"/>
            </w:tcBorders>
            <w:vAlign w:val="bottom"/>
          </w:tcPr>
          <w:p>
            <w:r>
              <w:t>КамАЗ 65115, самосвал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самосвал</w:t>
            </w:r>
          </w:p>
        </w:tc>
        <w:tc>
          <w:tcPr>
            <w:tcW w:type="dxa" w:w="2693"/>
            <w:tcBorders>
              <w:bottom w:val="single" w:sz="4" w:color="000000"/>
            </w:tcBorders>
            <w:vAlign w:val="bottom"/>
          </w:tcPr>
          <w:p>
            <w:r>
              <w:t>Х 456 ХХ 51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2154"/>
        <w:gridCol w:w="2154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Идентификационный номер (VIN)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Год выпуска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Пробег, км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Наработка, моточасов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XTC651153L0000000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2020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486 200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9 340</w:t>
            </w:r>
          </w:p>
        </w:tc>
      </w:tr>
    </w:tbl>
    <w:p>
      <w:pPr>
        <w:spacing w:before="120" w:after="40"/>
      </w:pPr>
      <w:r>
        <w:rPr>
          <w:b/>
          <w:sz w:val="16"/>
        </w:rPr>
        <w:t>ПРИЦЕП ИЛИ ПОЛУПРИЦЕП (ЗАПОЛНЯЕТСЯ, ЕСЛИ ДЕФЕКТУЕТСЯ В СОСТАВЕ АВТОПОЕЗДА)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Марка, модель прицепа или полуприцепа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Государственный регистрационный номер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VIN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не дефектовался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—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—</w:t>
            </w:r>
          </w:p>
        </w:tc>
      </w:tr>
    </w:tbl>
    <w:p>
      <w:pPr>
        <w:spacing w:before="120" w:after="40"/>
      </w:pPr>
      <w:r>
        <w:rPr>
          <w:b/>
          <w:sz w:val="16"/>
        </w:rPr>
        <w:t>УСЛОВИЯ ПРОВЕДЕНИЯ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4309"/>
        <w:gridCol w:w="2154"/>
        <w:gridCol w:w="4309"/>
      </w:tblGrid>
      <w:tr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Место проведения</w:t>
            </w:r>
          </w:p>
        </w:tc>
        <w:tc>
          <w:tcPr>
            <w:tcW w:type="dxa" w:w="2154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Дата и время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Объём разборки</w:t>
            </w:r>
          </w:p>
        </w:tc>
      </w:tr>
      <w:tr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г. Мурманск, ул. Заречная, д. 14, пост № 5</w:t>
            </w:r>
          </w:p>
        </w:tc>
        <w:tc>
          <w:tcPr>
            <w:tcW w:type="dxa" w:w="2154"/>
            <w:tcBorders>
              <w:bottom w:val="single" w:sz="4" w:color="000000"/>
            </w:tcBorders>
            <w:vAlign w:val="bottom"/>
          </w:tcPr>
          <w:p>
            <w:r>
              <w:t>15.08.2026, 08:30–15:00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снята коробка передач, вскрыт картер заднего моста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6463"/>
        <w:gridCol w:w="4309"/>
      </w:tblGrid>
      <w:tr>
        <w:tc>
          <w:tcPr>
            <w:tcW w:type="dxa" w:w="6463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Применённое оборудование и приборы</w:t>
            </w:r>
          </w:p>
        </w:tc>
        <w:tc>
          <w:tcPr>
            <w:tcW w:type="dxa" w:w="4309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Фотофиксация</w:t>
            </w:r>
          </w:p>
        </w:tc>
      </w:tr>
      <w:tr>
        <w:tc>
          <w:tcPr>
            <w:tcW w:type="dxa" w:w="6463"/>
            <w:tcBorders>
              <w:bottom w:val="single" w:sz="4" w:color="000000"/>
            </w:tcBorders>
            <w:vAlign w:val="bottom"/>
          </w:tcPr>
          <w:p>
            <w:r>
              <w:t>подъёмник, микрометр, нутромер, манометры пневмосистемы, эндоскоп, сканер</w:t>
            </w:r>
          </w:p>
        </w:tc>
        <w:tc>
          <w:tcPr>
            <w:tcW w:type="dxa" w:w="4309"/>
            <w:tcBorders>
              <w:bottom w:val="single" w:sz="4" w:color="000000"/>
            </w:tcBorders>
            <w:vAlign w:val="bottom"/>
          </w:tcPr>
          <w:p>
            <w:r>
              <w:t>18 снимков, приложение к акту</w:t>
            </w:r>
          </w:p>
        </w:tc>
      </w:tr>
    </w:tbl>
    <w:p>
      <w:pPr>
        <w:spacing w:before="120" w:after="40"/>
      </w:pPr>
      <w:r>
        <w:rPr>
          <w:b/>
          <w:sz w:val="16"/>
        </w:rPr>
        <w:t>ВЫЯВЛЕННЫЕ ДЕФЕКТЫ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1831"/>
        <w:gridCol w:w="2370"/>
        <w:gridCol w:w="1831"/>
        <w:gridCol w:w="1831"/>
        <w:gridCol w:w="2478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</w:t>
            </w:r>
          </w:p>
        </w:tc>
        <w:tc>
          <w:tcPr>
            <w:tcW w:type="dxa" w:w="2370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Выявленный дефект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Метод выявления</w:t>
            </w:r>
          </w:p>
        </w:tc>
        <w:tc>
          <w:tcPr>
            <w:tcW w:type="dxa" w:w="18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Замер и норма (предел)</w:t>
            </w:r>
          </w:p>
        </w:tc>
        <w:tc>
          <w:tcPr>
            <w:tcW w:type="dxa" w:w="2478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Причина возникновения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831"/>
          </w:tcPr>
          <w:p>
            <w:r>
              <w:t>Коробка передач, делитель</w:t>
            </w:r>
          </w:p>
        </w:tc>
        <w:tc>
          <w:tcPr>
            <w:tcW w:type="dxa" w:w="2370"/>
          </w:tcPr>
          <w:p>
            <w:r>
              <w:t>Разрушение подшипника вторичного вала, металлическая стружка в масле</w:t>
            </w:r>
          </w:p>
        </w:tc>
        <w:tc>
          <w:tcPr>
            <w:tcW w:type="dxa" w:w="1831"/>
          </w:tcPr>
          <w:p>
            <w:r>
              <w:t>Разборка, осмотр, магнитная пробка</w:t>
            </w:r>
          </w:p>
        </w:tc>
        <w:tc>
          <w:tcPr>
            <w:tcW w:type="dxa" w:w="1831"/>
          </w:tcPr>
          <w:p>
            <w:r>
              <w:t>Радиальный люфт 0,42 мм при пределе 0,10 мм</w:t>
            </w:r>
          </w:p>
        </w:tc>
        <w:tc>
          <w:tcPr>
            <w:tcW w:type="dxa" w:w="2478"/>
          </w:tcPr>
          <w:p>
            <w:r>
              <w:t>Эксплуатационный износ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831"/>
          </w:tcPr>
          <w:p>
            <w:r>
              <w:t>Задний мост, редуктор</w:t>
            </w:r>
          </w:p>
        </w:tc>
        <w:tc>
          <w:tcPr>
            <w:tcW w:type="dxa" w:w="2370"/>
          </w:tcPr>
          <w:p>
            <w:r>
              <w:t>Выкрашивание зубьев ведущей шестерни</w:t>
            </w:r>
          </w:p>
        </w:tc>
        <w:tc>
          <w:tcPr>
            <w:tcW w:type="dxa" w:w="1831"/>
          </w:tcPr>
          <w:p>
            <w:r>
              <w:t>Разборка, осмотр, эндоскоп</w:t>
            </w:r>
          </w:p>
        </w:tc>
        <w:tc>
          <w:tcPr>
            <w:tcW w:type="dxa" w:w="1831"/>
          </w:tcPr>
          <w:p>
            <w:r>
              <w:t>Повреждение 4 зубьев из 13</w:t>
            </w:r>
          </w:p>
        </w:tc>
        <w:tc>
          <w:tcPr>
            <w:tcW w:type="dxa" w:w="2478"/>
          </w:tcPr>
          <w:p>
            <w:r>
              <w:t>Следствие поз. 1 — попадание продуктов износа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831"/>
          </w:tcPr>
          <w:p>
            <w:r>
              <w:t>Сцепление</w:t>
            </w:r>
          </w:p>
        </w:tc>
        <w:tc>
          <w:tcPr>
            <w:tcW w:type="dxa" w:w="2370"/>
          </w:tcPr>
          <w:p>
            <w:r>
              <w:t>Замасливание и износ ведомого диска</w:t>
            </w:r>
          </w:p>
        </w:tc>
        <w:tc>
          <w:tcPr>
            <w:tcW w:type="dxa" w:w="1831"/>
          </w:tcPr>
          <w:p>
            <w:r>
              <w:t>Разборка, осмотр, замер</w:t>
            </w:r>
          </w:p>
        </w:tc>
        <w:tc>
          <w:tcPr>
            <w:tcW w:type="dxa" w:w="1831"/>
          </w:tcPr>
          <w:p>
            <w:r>
              <w:t>Толщина накладок 6,1 мм при пределе 7,5 мм</w:t>
            </w:r>
          </w:p>
        </w:tc>
        <w:tc>
          <w:tcPr>
            <w:tcW w:type="dxa" w:w="2478"/>
          </w:tcPr>
          <w:p>
            <w:r>
              <w:t>Эксплуатационный износ, течь по сальнику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831"/>
          </w:tcPr>
          <w:p>
            <w:r>
              <w:t>Пневмосистема, осушитель</w:t>
            </w:r>
          </w:p>
        </w:tc>
        <w:tc>
          <w:tcPr>
            <w:tcW w:type="dxa" w:w="2370"/>
          </w:tcPr>
          <w:p>
            <w:r>
              <w:t>Влага в ресиверах, унос масла в контуры</w:t>
            </w:r>
          </w:p>
        </w:tc>
        <w:tc>
          <w:tcPr>
            <w:tcW w:type="dxa" w:w="1831"/>
          </w:tcPr>
          <w:p>
            <w:r>
              <w:t>Слив конденсата, осмотр патронов</w:t>
            </w:r>
          </w:p>
        </w:tc>
        <w:tc>
          <w:tcPr>
            <w:tcW w:type="dxa" w:w="1831"/>
          </w:tcPr>
          <w:p>
            <w:r>
              <w:t>Конденсат в обоих ресиверах</w:t>
            </w:r>
          </w:p>
        </w:tc>
        <w:tc>
          <w:tcPr>
            <w:tcW w:type="dxa" w:w="2478"/>
          </w:tcPr>
          <w:p>
            <w:r>
              <w:t>Осушитель не обслуживался, патрон не менялся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831"/>
          </w:tcPr>
          <w:p>
            <w:r>
              <w:t>Тормозной кран передней оси</w:t>
            </w:r>
          </w:p>
        </w:tc>
        <w:tc>
          <w:tcPr>
            <w:tcW w:type="dxa" w:w="2370"/>
          </w:tcPr>
          <w:p>
            <w:r>
              <w:t>Падение давления в контуре при удержании педали</w:t>
            </w:r>
          </w:p>
        </w:tc>
        <w:tc>
          <w:tcPr>
            <w:tcW w:type="dxa" w:w="1831"/>
          </w:tcPr>
          <w:p>
            <w:r>
              <w:t>Замер манометрами, обмыливание</w:t>
            </w:r>
          </w:p>
        </w:tc>
        <w:tc>
          <w:tcPr>
            <w:tcW w:type="dxa" w:w="1831"/>
          </w:tcPr>
          <w:p>
            <w:r>
              <w:t>Падение 0,8 бар за 3 мин при норме не более 0,2</w:t>
            </w:r>
          </w:p>
        </w:tc>
        <w:tc>
          <w:tcPr>
            <w:tcW w:type="dxa" w:w="2478"/>
          </w:tcPr>
          <w:p>
            <w:r>
              <w:t>Эксплуатационный износ уплотнений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831"/>
          </w:tcPr>
          <w:p>
            <w:r>
              <w:t>Рессоры задней подвески</w:t>
            </w:r>
          </w:p>
        </w:tc>
        <w:tc>
          <w:tcPr>
            <w:tcW w:type="dxa" w:w="2370"/>
          </w:tcPr>
          <w:p>
            <w:r>
              <w:t>Излом коренного листа справа</w:t>
            </w:r>
          </w:p>
        </w:tc>
        <w:tc>
          <w:tcPr>
            <w:tcW w:type="dxa" w:w="1831"/>
          </w:tcPr>
          <w:p>
            <w:r>
              <w:t>Осмотр, замер стрелы прогиба</w:t>
            </w:r>
          </w:p>
        </w:tc>
        <w:tc>
          <w:tcPr>
            <w:tcW w:type="dxa" w:w="1831"/>
          </w:tcPr>
          <w:p>
            <w:r>
              <w:t>Просадка 34 мм относительно левой стороны</w:t>
            </w:r>
          </w:p>
        </w:tc>
        <w:tc>
          <w:tcPr>
            <w:tcW w:type="dxa" w:w="2478"/>
          </w:tcPr>
          <w:p>
            <w:r>
              <w:t>Нарушение условий эксплуатации — перегруз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1831"/>
          </w:tcPr>
          <w:p>
            <w:r>
              <w:t>Седельно-сцепное устройство</w:t>
            </w:r>
          </w:p>
        </w:tc>
        <w:tc>
          <w:tcPr>
            <w:tcW w:type="dxa" w:w="2370"/>
          </w:tcPr>
          <w:p>
            <w:r>
              <w:t>Не дефектовалось — автомобиль без ССУ</w:t>
            </w:r>
          </w:p>
        </w:tc>
        <w:tc>
          <w:tcPr>
            <w:tcW w:type="dxa" w:w="1831"/>
          </w:tcPr>
          <w:p>
            <w:r>
              <w:t>—</w:t>
            </w:r>
          </w:p>
        </w:tc>
        <w:tc>
          <w:tcPr>
            <w:tcW w:type="dxa" w:w="1831"/>
          </w:tcPr>
          <w:p>
            <w:r>
              <w:t>—</w:t>
            </w:r>
          </w:p>
        </w:tc>
        <w:tc>
          <w:tcPr>
            <w:tcW w:type="dxa" w:w="2478"/>
          </w:tcPr>
          <w:p>
            <w:r>
              <w:t>—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1831"/>
          </w:tcPr>
          <w:p>
            <w:r/>
          </w:p>
        </w:tc>
        <w:tc>
          <w:tcPr>
            <w:tcW w:type="dxa" w:w="2370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1831"/>
          </w:tcPr>
          <w:p>
            <w:r/>
          </w:p>
        </w:tc>
        <w:tc>
          <w:tcPr>
            <w:tcW w:type="dxa" w:w="2478"/>
          </w:tcPr>
          <w:p>
            <w:r/>
          </w:p>
        </w:tc>
      </w:tr>
    </w:tbl>
    <w:p>
      <w:r>
        <w:rPr>
          <w:color w:val="333333"/>
          <w:sz w:val="15"/>
        </w:rPr>
        <w:t>Причина указывается только там, где она установлена разборкой, замером или следом другого дефекта. «Вероятно» и «предположительно» в акт не идут: причина, написанная наугад, роняет достоверность всего документа, а «производственный дефект» без оснований — это уже утверждение против завода-изготовителя. Дефект описывается замером и нормой там, где замер возможен: «изношено» — мнение, «0,42 мм при пределе 0,10 мм» — факт, который можно перепроверить.</w:t>
      </w:r>
    </w:p>
    <w:p>
      <w:pPr>
        <w:spacing w:before="120" w:after="40"/>
      </w:pPr>
      <w:r>
        <w:rPr>
          <w:b/>
          <w:sz w:val="16"/>
        </w:rPr>
        <w:t>ЗАКЛЮЧЕНИЕ О ПРИГОДНОСТИ УЗЛОВ</w:t>
      </w:r>
    </w:p>
    <w:tbl>
      <w:tblPr>
        <w:tblW w:w="5000" w:type="pct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  <w:tblLook w:firstColumn="1" w:firstRow="1" w:lastColumn="0" w:lastRow="0" w:noHBand="0" w:noVBand="1" w:val="04A0"/>
      </w:tblPr>
      <w:tblGrid>
        <w:gridCol w:w="431"/>
        <w:gridCol w:w="4309"/>
        <w:gridCol w:w="3232"/>
        <w:gridCol w:w="2801"/>
      </w:tblGrid>
      <w:tr>
        <w:tc>
          <w:tcPr>
            <w:tcW w:type="dxa" w:w="43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№</w:t>
            </w:r>
          </w:p>
        </w:tc>
        <w:tc>
          <w:tcPr>
            <w:tcW w:type="dxa" w:w="4309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Узел, агрегат (позиция из таблицы выше)</w:t>
            </w:r>
          </w:p>
        </w:tc>
        <w:tc>
          <w:tcPr>
            <w:tcW w:type="dxa" w:w="3232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Заключение</w:t>
            </w:r>
          </w:p>
        </w:tc>
        <w:tc>
          <w:tcPr>
            <w:tcW w:type="dxa" w:w="2801"/>
            <w:shd w:val="clear" w:fill="EEEEEE"/>
          </w:tcPr>
          <w:p>
            <w:pPr>
              <w:jc w:val="center"/>
            </w:pPr>
            <w:r>
              <w:rPr>
                <w:b/>
                <w:sz w:val="15"/>
              </w:rPr>
              <w:t>Снят и передан на хранение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4309"/>
          </w:tcPr>
          <w:p>
            <w:r>
              <w:t>Коробка передач, поз. 1</w:t>
            </w:r>
          </w:p>
        </w:tc>
        <w:tc>
          <w:tcPr>
            <w:tcW w:type="dxa" w:w="3232"/>
          </w:tcPr>
          <w:p>
            <w:r>
              <w:t>Непригодна, требует ремонта с заменой подшипников и вала</w:t>
            </w:r>
          </w:p>
        </w:tc>
        <w:tc>
          <w:tcPr>
            <w:tcW w:type="dxa" w:w="2801"/>
          </w:tcPr>
          <w:p>
            <w:r>
              <w:t>Снята, хранится на посту № 5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4309"/>
          </w:tcPr>
          <w:p>
            <w:r>
              <w:t>Редуктор заднего моста, поз. 2</w:t>
            </w:r>
          </w:p>
        </w:tc>
        <w:tc>
          <w:tcPr>
            <w:tcW w:type="dxa" w:w="3232"/>
          </w:tcPr>
          <w:p>
            <w:r>
              <w:t>Непригоден, требуется замена главной пары</w:t>
            </w:r>
          </w:p>
        </w:tc>
        <w:tc>
          <w:tcPr>
            <w:tcW w:type="dxa" w:w="2801"/>
          </w:tcPr>
          <w:p>
            <w:r>
              <w:t>Снят, хранится на посту № 5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4309"/>
          </w:tcPr>
          <w:p>
            <w:r>
              <w:t>Ведомый диск сцепления, поз. 3</w:t>
            </w:r>
          </w:p>
        </w:tc>
        <w:tc>
          <w:tcPr>
            <w:tcW w:type="dxa" w:w="3232"/>
          </w:tcPr>
          <w:p>
            <w:r>
              <w:t>Непригоден, замена</w:t>
            </w:r>
          </w:p>
        </w:tc>
        <w:tc>
          <w:tcPr>
            <w:tcW w:type="dxa" w:w="2801"/>
          </w:tcPr>
          <w:p>
            <w:r>
              <w:t>Снят, передан заказчику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4309"/>
          </w:tcPr>
          <w:p>
            <w:r>
              <w:t>Тормозной кран, поз. 5</w:t>
            </w:r>
          </w:p>
        </w:tc>
        <w:tc>
          <w:tcPr>
            <w:tcW w:type="dxa" w:w="3232"/>
          </w:tcPr>
          <w:p>
            <w:r>
              <w:t>Непригоден, замена</w:t>
            </w:r>
          </w:p>
        </w:tc>
        <w:tc>
          <w:tcPr>
            <w:tcW w:type="dxa" w:w="2801"/>
          </w:tcPr>
          <w:p>
            <w:r>
              <w:t>Не снимался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4309"/>
          </w:tcPr>
          <w:p>
            <w:r>
              <w:t>Рессора задняя правая, поз. 6</w:t>
            </w:r>
          </w:p>
        </w:tc>
        <w:tc>
          <w:tcPr>
            <w:tcW w:type="dxa" w:w="3232"/>
          </w:tcPr>
          <w:p>
            <w:r>
              <w:t>Непригодна, замена листа или пакета</w:t>
            </w:r>
          </w:p>
        </w:tc>
        <w:tc>
          <w:tcPr>
            <w:tcW w:type="dxa" w:w="2801"/>
          </w:tcPr>
          <w:p>
            <w:r>
              <w:t>Не снималась</w:t>
            </w:r>
          </w:p>
        </w:tc>
      </w:tr>
      <w:tr>
        <w:tc>
          <w:tcPr>
            <w:tcW w:type="dxa" w:w="431"/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4309"/>
          </w:tcPr>
          <w:p>
            <w:r/>
          </w:p>
        </w:tc>
        <w:tc>
          <w:tcPr>
            <w:tcW w:type="dxa" w:w="3232"/>
          </w:tcPr>
          <w:p>
            <w:r/>
          </w:p>
        </w:tc>
        <w:tc>
          <w:tcPr>
            <w:tcW w:type="dxa" w:w="2801"/>
          </w:tcPr>
          <w:p>
            <w:r/>
          </w:p>
        </w:tc>
      </w:tr>
    </w:tbl>
    <w:p>
      <w:pPr>
        <w:spacing w:before="120" w:after="40"/>
      </w:pPr>
      <w:r>
        <w:rPr>
          <w:b/>
          <w:sz w:val="16"/>
        </w:rPr>
        <w:t>ИТОГ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Узлов продефектовано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Признано непригодными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Требуется дополнительная дефектовка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6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5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да, после снятия ведущего моста</w:t>
            </w:r>
          </w:p>
        </w:tc>
      </w:tr>
    </w:tbl>
    <w:p>
      <w:pPr>
        <w:spacing w:before="120" w:after="40"/>
      </w:pPr>
      <w:r>
        <w:rPr>
          <w:b/>
          <w:sz w:val="16"/>
        </w:rPr>
        <w:t>ЗАКЛЮЧЕНИЕ ПО РЕЗУЛЬТАТАМ ДЕФЕКТОВКИ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>
              <w:t>Первичный дефект — разрушение подшипника вторичного вала коробки передач; продукты износа попали в контур смазки и вызвали повреждение главной пары заднего моста. Эксплуатация автомобиля до устранения дефектов по позициям 1, 2 и 5 невозможна. Окончательный перечень заменяемых деталей определяется после снятия ведущего моста; стоимость восстановления настоящим актом не определяется.</w:t>
            </w:r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pPr>
        <w:spacing w:before="0" w:after="0"/>
      </w:pPr>
      <w:r>
        <w:rPr>
          <w:sz w:val="4"/>
        </w:rPr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10772"/>
      </w:tblGrid>
      <w:tr>
        <w:tc>
          <w:tcPr>
            <w:tcW w:type="dxa" w:w="10772"/>
          </w:tcPr>
          <w:p>
            <w:pPr>
              <w:spacing w:after="0"/>
            </w:pPr>
            <w:r>
              <w:rPr>
                <w:color w:val="444444"/>
                <w:sz w:val="15"/>
              </w:rPr>
            </w:r>
          </w:p>
        </w:tc>
      </w:tr>
      <w:tr>
        <w:tc>
          <w:tcPr>
            <w:tcW w:type="dxa" w:w="10772"/>
            <w:tcBorders>
              <w:bottom w:val="single" w:sz="4" w:color="000000"/>
            </w:tcBorders>
            <w:vAlign w:val="bottom"/>
          </w:tcPr>
          <w:p>
            <w:r/>
          </w:p>
        </w:tc>
      </w:tr>
    </w:tbl>
    <w:p>
      <w:r>
        <w:rPr>
          <w:color w:val="333333"/>
          <w:sz w:val="15"/>
        </w:rPr>
        <w:t>Стоимость восстановления выявленных дефектов настоящим актом не определяется и оформляется отдельным документом — дефектовочной ведомостью, сметой или заказ-нарядом. Снятые узлы и детали хранятся до решения заказчика об их судьбе; место и срок хранения указываются в акте, чтобы вопрос «где мой старый узел» не решался по памяти.</w:t>
      </w:r>
    </w:p>
    <w:p>
      <w:r>
        <w:rPr>
          <w:sz w:val="15"/>
        </w:rPr>
        <w:t>Дефектовка проведена в присутствии представителя заказчика. С перечнем дефектов, методами выявления, замерами и заключением о пригодности узлов ознакомлен, экземпляр акта получен.</w:t>
      </w:r>
    </w:p>
    <w:tbl>
      <w:tblPr>
        <w:tblW w:w="5000" w:type="pct"/>
        <w:tblLayout w:type="fixed"/>
        <w:tblLook w:firstColumn="1" w:firstRow="1" w:lastColumn="0" w:lastRow="0" w:noHBand="0" w:noVBand="1" w:val="04A0"/>
      </w:tblPr>
      <w:tblGrid>
        <w:gridCol w:w="3591"/>
        <w:gridCol w:w="3591"/>
        <w:gridCol w:w="3591"/>
      </w:tblGrid>
      <w:tr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лица, проводившего дефектовку</w:t>
            </w:r>
          </w:p>
        </w:tc>
        <w:tc>
          <w:tcPr>
            <w:tcW w:type="dxa" w:w="3591"/>
          </w:tcPr>
          <w:p>
            <w:pPr>
              <w:spacing w:after="0"/>
            </w:pPr>
            <w:r>
              <w:rPr>
                <w:color w:val="444444"/>
                <w:sz w:val="15"/>
              </w:rPr>
              <w:t>Должность, Ф. И. О. и подпись второго участника</w:t>
            </w:r>
          </w:p>
        </w:tc>
        <w:tc>
          <w:tcPr>
            <w:tcW w:type="dxa" w:w="3591"/>
          </w:tcPr>
          <w:p>
            <w:pPr>
              <w:spacing w:after="0"/>
              <w:jc w:val="right"/>
            </w:pPr>
            <w:r>
              <w:rPr>
                <w:color w:val="444444"/>
                <w:sz w:val="15"/>
              </w:rPr>
              <w:t>Должность, Ф. И. О. и подпись представителя заказчика</w:t>
            </w:r>
          </w:p>
        </w:tc>
      </w:tr>
      <w:tr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Мастер-диагност Сидоров В. Н.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r>
              <w:t>Слесарь Гусев П. А. ____________</w:t>
            </w:r>
          </w:p>
        </w:tc>
        <w:tc>
          <w:tcPr>
            <w:tcW w:type="dxa" w:w="3591"/>
            <w:tcBorders>
              <w:bottom w:val="single" w:sz="4" w:color="000000"/>
            </w:tcBorders>
            <w:vAlign w:val="bottom"/>
          </w:tcPr>
          <w:p>
            <w:pPr>
              <w:jc w:val="right"/>
            </w:pPr>
            <w:r>
              <w:t>____________ Механик Никитин С. В.</w:t>
            </w:r>
          </w:p>
        </w:tc>
      </w:tr>
    </w:tbl>
    <w:p>
      <w:r>
        <w:rPr>
          <w:color w:val="666666"/>
          <w:sz w:val="14"/>
        </w:rPr>
        <w:t>Утверждённой формы акта дефектовки не существует: формы первичных учётных документов утверждает руководитель экономического субъекта (ч. 4 ст. 9 Федерального закона от 06.12.2011 № 402-ФЗ), унифицированные формы с 2013 года необязательны, обязательны только реквизиты из ч. 2 той же статьи. Акт констатирует техническое состояние узлов и не определяет стоимость их восстановления: она оформляется дефектовочной ведомостью, сметой или заказ-нарядом. Разбор каждой графы — car9.ru/dokumenty/defektovka-gruzovogo</w:t>
      </w:r>
    </w:p>
    <w:sectPr w:rsidR="00FC693F" w:rsidRPr="0006063C" w:rsidSect="00034616">
      <w:pgSz w:w="11906" w:h="16838"/>
      <w:pgMar w:top="624" w:right="567" w:bottom="62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