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АКТ ДЕФЕКТОВКИ ДВИГАТЕЛЯ</w:t>
      </w:r>
    </w:p>
    <w:p>
      <w:pPr>
        <w:jc w:val="center"/>
      </w:pPr>
      <w:r>
        <w:rPr>
          <w:color w:val="444444"/>
          <w:sz w:val="15"/>
        </w:rPr>
        <w:t>Результаты дефектовки двигателя внутреннего сгорания после разборки: замеры деталей, сравнение с нормой и ремонтными размерами, причины возникновения дефектов и заключение о пригодности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5386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№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Основание для дефектовки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ЗАКАЗЧИК И АВТОМОБИЛЬ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4309"/>
        <w:gridCol w:w="2154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заказчика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 автомобиля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автомобиля, км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двигателя, если он заменялся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ДВИГАТЕЛЬ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154"/>
        <w:gridCol w:w="2154"/>
        <w:gridCol w:w="2154"/>
        <w:gridCol w:w="2154"/>
        <w:gridCol w:w="2154"/>
      </w:tblGrid>
      <w:tr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Модель (тип) двигателя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Номер двигателя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Рабочий объём, л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Число цилиндров, расположение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Топливо</w:t>
            </w:r>
          </w:p>
        </w:tc>
      </w:tr>
      <w:tr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Источник норм: руководство по ремонту, издание и раздел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Ремонтировался ранее (следы, ремонтные размеры)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СОСТОЯНИЕ ДО РАЗБОРКИ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3232"/>
        <w:gridCol w:w="3232"/>
        <w:gridCol w:w="2154"/>
        <w:gridCol w:w="2154"/>
      </w:tblGrid>
      <w:tr>
        <w:tc>
          <w:tcPr>
            <w:tcW w:type="dxa" w:w="32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Параметр</w:t>
            </w:r>
          </w:p>
        </w:tc>
        <w:tc>
          <w:tcPr>
            <w:tcW w:type="dxa" w:w="32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Метод и условия замера</w:t>
            </w:r>
          </w:p>
        </w:tc>
        <w:tc>
          <w:tcPr>
            <w:tcW w:type="dxa" w:w="215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 по руководству</w:t>
            </w:r>
          </w:p>
        </w:tc>
        <w:tc>
          <w:tcPr>
            <w:tcW w:type="dxa" w:w="215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Фактически</w:t>
            </w:r>
          </w:p>
        </w:tc>
      </w:tr>
      <w:tr>
        <w:tc>
          <w:tcPr>
            <w:tcW w:type="dxa" w:w="3232"/>
          </w:tcPr>
          <w:p>
            <w:r/>
          </w:p>
        </w:tc>
        <w:tc>
          <w:tcPr>
            <w:tcW w:type="dxa" w:w="3232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3232"/>
          </w:tcPr>
          <w:p>
            <w:r/>
          </w:p>
        </w:tc>
        <w:tc>
          <w:tcPr>
            <w:tcW w:type="dxa" w:w="3232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3232"/>
          </w:tcPr>
          <w:p>
            <w:r/>
          </w:p>
        </w:tc>
        <w:tc>
          <w:tcPr>
            <w:tcW w:type="dxa" w:w="3232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3232"/>
          </w:tcPr>
          <w:p>
            <w:r/>
          </w:p>
        </w:tc>
        <w:tc>
          <w:tcPr>
            <w:tcW w:type="dxa" w:w="3232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2154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ОБЪЁМ РАЗБОРКИ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Что снято и разобрано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Применённое оборудование и приборы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дефектовки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ЦИЛИНДРОПОРШНЕВАЯ ГРУППА: ЗАМЕРЫ ПО ЦИЛИНДРАМ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862"/>
        <w:gridCol w:w="1616"/>
        <w:gridCol w:w="1724"/>
        <w:gridCol w:w="1293"/>
        <w:gridCol w:w="1293"/>
        <w:gridCol w:w="2262"/>
        <w:gridCol w:w="1724"/>
      </w:tblGrid>
      <w:tr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Цилиндр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Номинальный диаметр, мм</w:t>
            </w:r>
          </w:p>
        </w:tc>
        <w:tc>
          <w:tcPr>
            <w:tcW w:type="dxa" w:w="172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Фактический наибольший, мм</w:t>
            </w:r>
          </w:p>
        </w:tc>
        <w:tc>
          <w:tcPr>
            <w:tcW w:type="dxa" w:w="1293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Овальность, мм</w:t>
            </w:r>
          </w:p>
        </w:tc>
        <w:tc>
          <w:tcPr>
            <w:tcW w:type="dxa" w:w="1293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Конусность, мм</w:t>
            </w:r>
          </w:p>
        </w:tc>
        <w:tc>
          <w:tcPr>
            <w:tcW w:type="dxa" w:w="22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Состояние зеркала, зазор в замке колец</w:t>
            </w:r>
          </w:p>
        </w:tc>
        <w:tc>
          <w:tcPr>
            <w:tcW w:type="dxa" w:w="172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Заключение</w:t>
            </w:r>
          </w:p>
        </w:tc>
      </w:tr>
      <w:tr>
        <w:tc>
          <w:tcPr>
            <w:tcW w:type="dxa" w:w="862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616"/>
          </w:tcPr>
          <w:p>
            <w:pPr>
              <w:jc w:val="center"/>
            </w:pPr>
            <w:r/>
          </w:p>
        </w:tc>
        <w:tc>
          <w:tcPr>
            <w:tcW w:type="dxa" w:w="1724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2262"/>
          </w:tcPr>
          <w:p>
            <w:r/>
          </w:p>
        </w:tc>
        <w:tc>
          <w:tcPr>
            <w:tcW w:type="dxa" w:w="1724"/>
          </w:tcPr>
          <w:p>
            <w:r/>
          </w:p>
        </w:tc>
      </w:tr>
      <w:tr>
        <w:tc>
          <w:tcPr>
            <w:tcW w:type="dxa" w:w="862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616"/>
          </w:tcPr>
          <w:p>
            <w:pPr>
              <w:jc w:val="center"/>
            </w:pPr>
            <w:r/>
          </w:p>
        </w:tc>
        <w:tc>
          <w:tcPr>
            <w:tcW w:type="dxa" w:w="1724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2262"/>
          </w:tcPr>
          <w:p>
            <w:r/>
          </w:p>
        </w:tc>
        <w:tc>
          <w:tcPr>
            <w:tcW w:type="dxa" w:w="1724"/>
          </w:tcPr>
          <w:p>
            <w:r/>
          </w:p>
        </w:tc>
      </w:tr>
      <w:tr>
        <w:tc>
          <w:tcPr>
            <w:tcW w:type="dxa" w:w="862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616"/>
          </w:tcPr>
          <w:p>
            <w:pPr>
              <w:jc w:val="center"/>
            </w:pPr>
            <w:r/>
          </w:p>
        </w:tc>
        <w:tc>
          <w:tcPr>
            <w:tcW w:type="dxa" w:w="1724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2262"/>
          </w:tcPr>
          <w:p>
            <w:r/>
          </w:p>
        </w:tc>
        <w:tc>
          <w:tcPr>
            <w:tcW w:type="dxa" w:w="1724"/>
          </w:tcPr>
          <w:p>
            <w:r/>
          </w:p>
        </w:tc>
      </w:tr>
      <w:tr>
        <w:tc>
          <w:tcPr>
            <w:tcW w:type="dxa" w:w="862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616"/>
          </w:tcPr>
          <w:p>
            <w:pPr>
              <w:jc w:val="center"/>
            </w:pPr>
            <w:r/>
          </w:p>
        </w:tc>
        <w:tc>
          <w:tcPr>
            <w:tcW w:type="dxa" w:w="1724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2262"/>
          </w:tcPr>
          <w:p>
            <w:r/>
          </w:p>
        </w:tc>
        <w:tc>
          <w:tcPr>
            <w:tcW w:type="dxa" w:w="1724"/>
          </w:tcPr>
          <w:p>
            <w:r/>
          </w:p>
        </w:tc>
      </w:tr>
      <w:tr>
        <w:tc>
          <w:tcPr>
            <w:tcW w:type="dxa" w:w="862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616"/>
          </w:tcPr>
          <w:p>
            <w:pPr>
              <w:jc w:val="center"/>
            </w:pPr>
            <w:r/>
          </w:p>
        </w:tc>
        <w:tc>
          <w:tcPr>
            <w:tcW w:type="dxa" w:w="1724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2262"/>
          </w:tcPr>
          <w:p>
            <w:r/>
          </w:p>
        </w:tc>
        <w:tc>
          <w:tcPr>
            <w:tcW w:type="dxa" w:w="1724"/>
          </w:tcPr>
          <w:p>
            <w:r/>
          </w:p>
        </w:tc>
      </w:tr>
      <w:tr>
        <w:tc>
          <w:tcPr>
            <w:tcW w:type="dxa" w:w="862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1616"/>
          </w:tcPr>
          <w:p>
            <w:pPr>
              <w:jc w:val="center"/>
            </w:pPr>
            <w:r/>
          </w:p>
        </w:tc>
        <w:tc>
          <w:tcPr>
            <w:tcW w:type="dxa" w:w="1724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2262"/>
          </w:tcPr>
          <w:p>
            <w:r/>
          </w:p>
        </w:tc>
        <w:tc>
          <w:tcPr>
            <w:tcW w:type="dxa" w:w="1724"/>
          </w:tcPr>
          <w:p>
            <w:r/>
          </w:p>
        </w:tc>
      </w:tr>
    </w:tbl>
    <w:p>
      <w:r>
        <w:rPr>
          <w:color w:val="333333"/>
          <w:sz w:val="15"/>
        </w:rPr>
        <w:t>Диаметр цилиндра замеряется нутромером не менее чем в двух взаимно перпендикулярных плоскостях и в трёх поясах по высоте — иначе овальность и конусность не выявляются вовсе, а именно они, а не средний диаметр, определяют пригодность цилиндра. Номинальные размеры, допуски, пределы износа и ремонтные размеры берутся из руководства по ремонту конкретного двигателя: универсальных значений не существует, и цифры из соседнего мотора той же марки к делу не относятся.</w:t>
      </w:r>
    </w:p>
    <w:p>
      <w:pPr>
        <w:spacing w:before="120" w:after="40"/>
      </w:pPr>
      <w:r>
        <w:rPr>
          <w:b/>
          <w:sz w:val="16"/>
        </w:rPr>
        <w:t>КРИВОШИПНО-ШАТУННЫЙ МЕХАНИЗМ, ГОЛОВКА БЛОКА И ПРИВОД ГРМ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431"/>
        <w:gridCol w:w="2154"/>
        <w:gridCol w:w="2585"/>
        <w:gridCol w:w="1831"/>
        <w:gridCol w:w="1400"/>
        <w:gridCol w:w="2370"/>
      </w:tblGrid>
      <w:tr>
        <w:tc>
          <w:tcPr>
            <w:tcW w:type="dxa" w:w="4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15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Деталь, позиция</w:t>
            </w:r>
          </w:p>
        </w:tc>
        <w:tc>
          <w:tcPr>
            <w:tcW w:type="dxa" w:w="2585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Что и чем замерялось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 (предел) по руководству</w:t>
            </w:r>
          </w:p>
        </w:tc>
        <w:tc>
          <w:tcPr>
            <w:tcW w:type="dxa" w:w="140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Фактически</w:t>
            </w:r>
          </w:p>
        </w:tc>
        <w:tc>
          <w:tcPr>
            <w:tcW w:type="dxa" w:w="237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Заключение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2370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2370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2370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2370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2370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2370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2370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2370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2370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2370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ПРИЧИНЫ ВОЗНИКНОВЕНИЯ ДЕФЕКТОВ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3232"/>
        <w:gridCol w:w="3770"/>
        <w:gridCol w:w="3232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32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Дефект (позиция выше)</w:t>
            </w:r>
          </w:p>
        </w:tc>
        <w:tc>
          <w:tcPr>
            <w:tcW w:type="dxa" w:w="377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Установленная причина</w:t>
            </w:r>
          </w:p>
        </w:tc>
        <w:tc>
          <w:tcPr>
            <w:tcW w:type="dxa" w:w="32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 чём основан вывод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3232"/>
          </w:tcPr>
          <w:p>
            <w:r/>
          </w:p>
        </w:tc>
        <w:tc>
          <w:tcPr>
            <w:tcW w:type="dxa" w:w="3770"/>
          </w:tcPr>
          <w:p>
            <w:r/>
          </w:p>
        </w:tc>
        <w:tc>
          <w:tcPr>
            <w:tcW w:type="dxa" w:w="3232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3232"/>
          </w:tcPr>
          <w:p>
            <w:r/>
          </w:p>
        </w:tc>
        <w:tc>
          <w:tcPr>
            <w:tcW w:type="dxa" w:w="3770"/>
          </w:tcPr>
          <w:p>
            <w:r/>
          </w:p>
        </w:tc>
        <w:tc>
          <w:tcPr>
            <w:tcW w:type="dxa" w:w="3232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3232"/>
          </w:tcPr>
          <w:p>
            <w:r/>
          </w:p>
        </w:tc>
        <w:tc>
          <w:tcPr>
            <w:tcW w:type="dxa" w:w="3770"/>
          </w:tcPr>
          <w:p>
            <w:r/>
          </w:p>
        </w:tc>
        <w:tc>
          <w:tcPr>
            <w:tcW w:type="dxa" w:w="3232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3232"/>
          </w:tcPr>
          <w:p>
            <w:r/>
          </w:p>
        </w:tc>
        <w:tc>
          <w:tcPr>
            <w:tcW w:type="dxa" w:w="3770"/>
          </w:tcPr>
          <w:p>
            <w:r/>
          </w:p>
        </w:tc>
        <w:tc>
          <w:tcPr>
            <w:tcW w:type="dxa" w:w="3232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3232"/>
          </w:tcPr>
          <w:p>
            <w:r/>
          </w:p>
        </w:tc>
        <w:tc>
          <w:tcPr>
            <w:tcW w:type="dxa" w:w="3770"/>
          </w:tcPr>
          <w:p>
            <w:r/>
          </w:p>
        </w:tc>
        <w:tc>
          <w:tcPr>
            <w:tcW w:type="dxa" w:w="3232"/>
          </w:tcPr>
          <w:p>
            <w:r/>
          </w:p>
        </w:tc>
      </w:tr>
    </w:tbl>
    <w:p>
      <w:r>
        <w:rPr>
          <w:color w:val="333333"/>
          <w:sz w:val="15"/>
        </w:rPr>
        <w:t>Причина указывается только там, где она установлена замером, разборкой или связью с другим дефектом, и графа «на чём основан вывод» существует именно для этого. «Вероятно, перегрев» и «предположительно, некачественное масло» в акт не идут: причина, написанная наугад, роняет достоверность всего документа, а «производственный дефект» без оснований — это уже утверждение против завода-изготовителя.</w:t>
      </w:r>
    </w:p>
    <w:p>
      <w:pPr>
        <w:spacing w:before="120" w:after="40"/>
      </w:pPr>
      <w:r>
        <w:rPr>
          <w:b/>
          <w:sz w:val="16"/>
        </w:rPr>
        <w:t>ЗАКЛЮЧЕНИЕ О ПРИГОДНОСТИ ДВИГАТЕЛЯ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Блок цилиндров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Коленчатый вал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Головка блока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Принятые ремонтные размеры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Требуется дополнительная дефектовка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Снятые детали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ЗАКЛЮЧЕНИЕ ПО РЕЗУЛЬТАТАМ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Стоимость восстановления настоящим актом не определяется и оформляется дефектовочной ведомостью, сметой или заказ-нарядом. Снятые детали хранятся до решения заказчика об их судьбе; место и срок хранения указываются в акте.</w:t>
      </w:r>
    </w:p>
    <w:p>
      <w:r>
        <w:rPr>
          <w:sz w:val="15"/>
        </w:rPr>
        <w:t>Дефектовка проведена в присутствии заказчика или его представителя. С замерами, выявленными дефектами, установленными причинами и заключением о пригодности деталей ознакомлен, экземпляр акта получен.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дефектовку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второго участника</w:t>
            </w:r>
          </w:p>
        </w:tc>
        <w:tc>
          <w:tcPr>
            <w:tcW w:type="dxa" w:w="3591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заказчика или представителя, Ф. И. О.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/>
          </w:p>
        </w:tc>
      </w:tr>
    </w:tbl>
    <w:p>
      <w:r>
        <w:rPr>
          <w:color w:val="666666"/>
          <w:sz w:val="14"/>
        </w:rPr>
        <w:t>Утверждённой формы акта дефектовки не существует: формы первичных учётных документов утверждает руководитель экономического субъекта (ч. 4 ст. 9 Федерального закона от 06.12.2011 № 402-ФЗ), унифицированные формы с 2013 года необязательны, обязательны только реквизиты из ч. 2 той же статьи. Номинальные размеры, допуски, пределы износа и ремонтные размеры берутся из руководства по ремонту конкретного двигателя — универсальных значений не существует. Акт констатирует состояние деталей и не определяет стоимость их восстановления. Разбор каждой графы — car9.ru/dokumenty/defektovka-dvigatelya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АКТ ДЕФЕКТОВКИ ДВИГАТЕЛЯ</w:t>
      </w:r>
    </w:p>
    <w:p>
      <w:pPr>
        <w:jc w:val="center"/>
      </w:pPr>
      <w:r>
        <w:rPr>
          <w:color w:val="444444"/>
          <w:sz w:val="15"/>
        </w:rPr>
        <w:t>Результаты дефектовки двигателя внутреннего сгорания после разборки: замеры деталей, сравнение с нормой и ремонтными размерами, причины возникновения дефектов и заключение о пригодности</w:t>
      </w:r>
    </w:p>
    <w:p>
      <w:pPr>
        <w:jc w:val="center"/>
      </w:pPr>
      <w:r>
        <w:rPr>
          <w:b/>
          <w:sz w:val="16"/>
        </w:rPr>
        <w:t>ОБРАЗЕЦ ЗАПОЛНЕНИЯ — замеры, номера и фамилии условные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5386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№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Основание для дефектовки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ДД-2026-00021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от «15» августа 2026 г.</w:t>
            </w:r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заявка № 126: стук при прогреве, расход масла 1,2 л на 1000 км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ЗАКАЗЧИК И АВТОМОБИЛЬ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4309"/>
        <w:gridCol w:w="2154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заказчика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 автомобиля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Никитин Сергей Владимирович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Kia Rio, седан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А 123 ВС 51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автомобиля, км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двигателя, если он заменялся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Z94C241BAKR000000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218 400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двигатель не заменялся</w:t>
            </w:r>
          </w:p>
        </w:tc>
      </w:tr>
    </w:tbl>
    <w:p>
      <w:pPr>
        <w:spacing w:before="120" w:after="40"/>
      </w:pPr>
      <w:r>
        <w:rPr>
          <w:b/>
          <w:sz w:val="16"/>
        </w:rPr>
        <w:t>ДВИГАТЕЛЬ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154"/>
        <w:gridCol w:w="2154"/>
        <w:gridCol w:w="2154"/>
        <w:gridCol w:w="2154"/>
        <w:gridCol w:w="2154"/>
      </w:tblGrid>
      <w:tr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Модель (тип) двигателя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Номер двигателя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Рабочий объём, л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Число цилиндров, расположение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Топливо</w:t>
            </w:r>
          </w:p>
        </w:tc>
      </w:tr>
      <w:tr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G4FC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G4FC9M000000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1,6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4, рядное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бензин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Источник норм: руководство по ремонту, издание и раздел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Ремонтировался ранее (следы, ремонтные размеры)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руководство по ремонту G4FC, раздел «Механическая часть двигателя»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следов ремонта не обнаружено, размеры номинальные</w:t>
            </w:r>
          </w:p>
        </w:tc>
      </w:tr>
    </w:tbl>
    <w:p>
      <w:pPr>
        <w:spacing w:before="120" w:after="40"/>
      </w:pPr>
      <w:r>
        <w:rPr>
          <w:b/>
          <w:sz w:val="16"/>
        </w:rPr>
        <w:t>СОСТОЯНИЕ ДО РАЗБОРКИ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3232"/>
        <w:gridCol w:w="3232"/>
        <w:gridCol w:w="2154"/>
        <w:gridCol w:w="2154"/>
      </w:tblGrid>
      <w:tr>
        <w:tc>
          <w:tcPr>
            <w:tcW w:type="dxa" w:w="32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Параметр</w:t>
            </w:r>
          </w:p>
        </w:tc>
        <w:tc>
          <w:tcPr>
            <w:tcW w:type="dxa" w:w="32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Метод и условия замера</w:t>
            </w:r>
          </w:p>
        </w:tc>
        <w:tc>
          <w:tcPr>
            <w:tcW w:type="dxa" w:w="215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 по руководству</w:t>
            </w:r>
          </w:p>
        </w:tc>
        <w:tc>
          <w:tcPr>
            <w:tcW w:type="dxa" w:w="215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Фактически</w:t>
            </w:r>
          </w:p>
        </w:tc>
      </w:tr>
      <w:tr>
        <w:tc>
          <w:tcPr>
            <w:tcW w:type="dxa" w:w="3232"/>
          </w:tcPr>
          <w:p>
            <w:r>
              <w:t>Компрессия по цилиндрам, бар</w:t>
            </w:r>
          </w:p>
        </w:tc>
        <w:tc>
          <w:tcPr>
            <w:tcW w:type="dxa" w:w="3232"/>
          </w:tcPr>
          <w:p>
            <w:r>
              <w:t>Компрессометр, прогретый двигатель, полностью открытая дроссельная заслонка</w:t>
            </w:r>
          </w:p>
        </w:tc>
        <w:tc>
          <w:tcPr>
            <w:tcW w:type="dxa" w:w="2154"/>
          </w:tcPr>
          <w:p>
            <w:r>
              <w:t>не ниже 10,0; разброс не более 1,0</w:t>
            </w:r>
          </w:p>
        </w:tc>
        <w:tc>
          <w:tcPr>
            <w:tcW w:type="dxa" w:w="2154"/>
          </w:tcPr>
          <w:p>
            <w:r>
              <w:t>9,8 / 7,4 / 9,6 / 9,5</w:t>
            </w:r>
          </w:p>
        </w:tc>
      </w:tr>
      <w:tr>
        <w:tc>
          <w:tcPr>
            <w:tcW w:type="dxa" w:w="3232"/>
          </w:tcPr>
          <w:p>
            <w:r>
              <w:t>Давление масла на прогретом двигателе, бар</w:t>
            </w:r>
          </w:p>
        </w:tc>
        <w:tc>
          <w:tcPr>
            <w:tcW w:type="dxa" w:w="3232"/>
          </w:tcPr>
          <w:p>
            <w:r>
              <w:t>Механический манометр вместо датчика, 3000 об/мин</w:t>
            </w:r>
          </w:p>
        </w:tc>
        <w:tc>
          <w:tcPr>
            <w:tcW w:type="dxa" w:w="2154"/>
          </w:tcPr>
          <w:p>
            <w:r>
              <w:t>не ниже 3,0</w:t>
            </w:r>
          </w:p>
        </w:tc>
        <w:tc>
          <w:tcPr>
            <w:tcW w:type="dxa" w:w="2154"/>
          </w:tcPr>
          <w:p>
            <w:r>
              <w:t>2,1</w:t>
            </w:r>
          </w:p>
        </w:tc>
      </w:tr>
      <w:tr>
        <w:tc>
          <w:tcPr>
            <w:tcW w:type="dxa" w:w="3232"/>
          </w:tcPr>
          <w:p>
            <w:r>
              <w:t>Состояние масла</w:t>
            </w:r>
          </w:p>
        </w:tc>
        <w:tc>
          <w:tcPr>
            <w:tcW w:type="dxa" w:w="3232"/>
          </w:tcPr>
          <w:p>
            <w:r>
              <w:t>Осмотр при сливе, магнитная пробка</w:t>
            </w:r>
          </w:p>
        </w:tc>
        <w:tc>
          <w:tcPr>
            <w:tcW w:type="dxa" w:w="2154"/>
          </w:tcPr>
          <w:p>
            <w:r>
              <w:t>без стружки и эмульсии</w:t>
            </w:r>
          </w:p>
        </w:tc>
        <w:tc>
          <w:tcPr>
            <w:tcW w:type="dxa" w:w="2154"/>
          </w:tcPr>
          <w:p>
            <w:r>
              <w:t>металлическая стружка на пробке, запах топлива</w:t>
            </w:r>
          </w:p>
        </w:tc>
      </w:tr>
      <w:tr>
        <w:tc>
          <w:tcPr>
            <w:tcW w:type="dxa" w:w="3232"/>
          </w:tcPr>
          <w:p>
            <w:r>
              <w:t>Охлаждающая жидкость в масле, масло в системе охлаждения</w:t>
            </w:r>
          </w:p>
        </w:tc>
        <w:tc>
          <w:tcPr>
            <w:tcW w:type="dxa" w:w="3232"/>
          </w:tcPr>
          <w:p>
            <w:r>
              <w:t>Осмотр, опрессовка системы охлаждения</w:t>
            </w:r>
          </w:p>
        </w:tc>
        <w:tc>
          <w:tcPr>
            <w:tcW w:type="dxa" w:w="2154"/>
          </w:tcPr>
          <w:p>
            <w:r>
              <w:t>отсутствуют</w:t>
            </w:r>
          </w:p>
        </w:tc>
        <w:tc>
          <w:tcPr>
            <w:tcW w:type="dxa" w:w="2154"/>
          </w:tcPr>
          <w:p>
            <w:r>
              <w:t>не обнаружено</w:t>
            </w:r>
          </w:p>
        </w:tc>
      </w:tr>
    </w:tbl>
    <w:p>
      <w:pPr>
        <w:spacing w:before="120" w:after="40"/>
      </w:pPr>
      <w:r>
        <w:rPr>
          <w:b/>
          <w:sz w:val="16"/>
        </w:rPr>
        <w:t>ОБЪЁМ РАЗБОРКИ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Что снято и разобрано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Применённое оборудование и приборы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двигатель снят с автомобиля, разобран полностью: снята ГБЦ, поддон, извлечены поршни и коленчатый вал</w:t>
            </w:r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нутромер индикаторный, микрометр 75–100 мм, поверочная линейка и щуп, индикаторная стойка, набор щупов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дефектовки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24 снимка, приложение к акту</w:t>
            </w:r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15.08.2026, 09:00–16:30</w:t>
            </w:r>
          </w:p>
        </w:tc>
      </w:tr>
    </w:tbl>
    <w:p>
      <w:pPr>
        <w:spacing w:before="120" w:after="40"/>
      </w:pPr>
      <w:r>
        <w:rPr>
          <w:b/>
          <w:sz w:val="16"/>
        </w:rPr>
        <w:t>ЦИЛИНДРОПОРШНЕВАЯ ГРУППА: ЗАМЕРЫ ПО ЦИЛИНДРАМ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862"/>
        <w:gridCol w:w="1616"/>
        <w:gridCol w:w="1724"/>
        <w:gridCol w:w="1293"/>
        <w:gridCol w:w="1293"/>
        <w:gridCol w:w="2262"/>
        <w:gridCol w:w="1724"/>
      </w:tblGrid>
      <w:tr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Цилиндр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Номинальный диаметр, мм</w:t>
            </w:r>
          </w:p>
        </w:tc>
        <w:tc>
          <w:tcPr>
            <w:tcW w:type="dxa" w:w="172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Фактический наибольший, мм</w:t>
            </w:r>
          </w:p>
        </w:tc>
        <w:tc>
          <w:tcPr>
            <w:tcW w:type="dxa" w:w="1293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Овальность, мм</w:t>
            </w:r>
          </w:p>
        </w:tc>
        <w:tc>
          <w:tcPr>
            <w:tcW w:type="dxa" w:w="1293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Конусность, мм</w:t>
            </w:r>
          </w:p>
        </w:tc>
        <w:tc>
          <w:tcPr>
            <w:tcW w:type="dxa" w:w="22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Состояние зеркала, зазор в замке колец</w:t>
            </w:r>
          </w:p>
        </w:tc>
        <w:tc>
          <w:tcPr>
            <w:tcW w:type="dxa" w:w="172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Заключение</w:t>
            </w:r>
          </w:p>
        </w:tc>
      </w:tr>
      <w:tr>
        <w:tc>
          <w:tcPr>
            <w:tcW w:type="dxa" w:w="862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616"/>
          </w:tcPr>
          <w:p>
            <w:pPr>
              <w:jc w:val="center"/>
            </w:pPr>
            <w:r>
              <w:t>77,00</w:t>
            </w:r>
          </w:p>
        </w:tc>
        <w:tc>
          <w:tcPr>
            <w:tcW w:type="dxa" w:w="1724"/>
          </w:tcPr>
          <w:p>
            <w:pPr>
              <w:jc w:val="center"/>
            </w:pPr>
            <w:r>
              <w:t>77,06</w:t>
            </w:r>
          </w:p>
        </w:tc>
        <w:tc>
          <w:tcPr>
            <w:tcW w:type="dxa" w:w="1293"/>
          </w:tcPr>
          <w:p>
            <w:pPr>
              <w:jc w:val="center"/>
            </w:pPr>
            <w:r>
              <w:t>0,03</w:t>
            </w:r>
          </w:p>
        </w:tc>
        <w:tc>
          <w:tcPr>
            <w:tcW w:type="dxa" w:w="1293"/>
          </w:tcPr>
          <w:p>
            <w:pPr>
              <w:jc w:val="center"/>
            </w:pPr>
            <w:r>
              <w:t>0,04</w:t>
            </w:r>
          </w:p>
        </w:tc>
        <w:tc>
          <w:tcPr>
            <w:tcW w:type="dxa" w:w="2262"/>
          </w:tcPr>
          <w:p>
            <w:r>
              <w:t>Зеркало без задиров, зазор в замке 0,52 мм</w:t>
            </w:r>
          </w:p>
        </w:tc>
        <w:tc>
          <w:tcPr>
            <w:tcW w:type="dxa" w:w="1724"/>
          </w:tcPr>
          <w:p>
            <w:r>
              <w:t>В пределах нормы</w:t>
            </w:r>
          </w:p>
        </w:tc>
      </w:tr>
      <w:tr>
        <w:tc>
          <w:tcPr>
            <w:tcW w:type="dxa" w:w="862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616"/>
          </w:tcPr>
          <w:p>
            <w:pPr>
              <w:jc w:val="center"/>
            </w:pPr>
            <w:r>
              <w:t>77,00</w:t>
            </w:r>
          </w:p>
        </w:tc>
        <w:tc>
          <w:tcPr>
            <w:tcW w:type="dxa" w:w="1724"/>
          </w:tcPr>
          <w:p>
            <w:pPr>
              <w:jc w:val="center"/>
            </w:pPr>
            <w:r>
              <w:t>77,19</w:t>
            </w:r>
          </w:p>
        </w:tc>
        <w:tc>
          <w:tcPr>
            <w:tcW w:type="dxa" w:w="1293"/>
          </w:tcPr>
          <w:p>
            <w:pPr>
              <w:jc w:val="center"/>
            </w:pPr>
            <w:r>
              <w:t>0,11</w:t>
            </w:r>
          </w:p>
        </w:tc>
        <w:tc>
          <w:tcPr>
            <w:tcW w:type="dxa" w:w="1293"/>
          </w:tcPr>
          <w:p>
            <w:pPr>
              <w:jc w:val="center"/>
            </w:pPr>
            <w:r>
              <w:t>0,09</w:t>
            </w:r>
          </w:p>
        </w:tc>
        <w:tc>
          <w:tcPr>
            <w:tcW w:type="dxa" w:w="2262"/>
          </w:tcPr>
          <w:p>
            <w:r>
              <w:t>Задиры по зеркалу, зазор в замке 1,15 мм</w:t>
            </w:r>
          </w:p>
        </w:tc>
        <w:tc>
          <w:tcPr>
            <w:tcW w:type="dxa" w:w="1724"/>
          </w:tcPr>
          <w:p>
            <w:r>
              <w:t>Расточка в ремонтный размер</w:t>
            </w:r>
          </w:p>
        </w:tc>
      </w:tr>
      <w:tr>
        <w:tc>
          <w:tcPr>
            <w:tcW w:type="dxa" w:w="862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616"/>
          </w:tcPr>
          <w:p>
            <w:pPr>
              <w:jc w:val="center"/>
            </w:pPr>
            <w:r>
              <w:t>77,00</w:t>
            </w:r>
          </w:p>
        </w:tc>
        <w:tc>
          <w:tcPr>
            <w:tcW w:type="dxa" w:w="1724"/>
          </w:tcPr>
          <w:p>
            <w:pPr>
              <w:jc w:val="center"/>
            </w:pPr>
            <w:r>
              <w:t>77,07</w:t>
            </w:r>
          </w:p>
        </w:tc>
        <w:tc>
          <w:tcPr>
            <w:tcW w:type="dxa" w:w="1293"/>
          </w:tcPr>
          <w:p>
            <w:pPr>
              <w:jc w:val="center"/>
            </w:pPr>
            <w:r>
              <w:t>0,04</w:t>
            </w:r>
          </w:p>
        </w:tc>
        <w:tc>
          <w:tcPr>
            <w:tcW w:type="dxa" w:w="1293"/>
          </w:tcPr>
          <w:p>
            <w:pPr>
              <w:jc w:val="center"/>
            </w:pPr>
            <w:r>
              <w:t>0,04</w:t>
            </w:r>
          </w:p>
        </w:tc>
        <w:tc>
          <w:tcPr>
            <w:tcW w:type="dxa" w:w="2262"/>
          </w:tcPr>
          <w:p>
            <w:r>
              <w:t>Зеркало без задиров, зазор в замке 0,58 мм</w:t>
            </w:r>
          </w:p>
        </w:tc>
        <w:tc>
          <w:tcPr>
            <w:tcW w:type="dxa" w:w="1724"/>
          </w:tcPr>
          <w:p>
            <w:r>
              <w:t>В пределах нормы</w:t>
            </w:r>
          </w:p>
        </w:tc>
      </w:tr>
      <w:tr>
        <w:tc>
          <w:tcPr>
            <w:tcW w:type="dxa" w:w="862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616"/>
          </w:tcPr>
          <w:p>
            <w:pPr>
              <w:jc w:val="center"/>
            </w:pPr>
            <w:r>
              <w:t>77,00</w:t>
            </w:r>
          </w:p>
        </w:tc>
        <w:tc>
          <w:tcPr>
            <w:tcW w:type="dxa" w:w="1724"/>
          </w:tcPr>
          <w:p>
            <w:pPr>
              <w:jc w:val="center"/>
            </w:pPr>
            <w:r>
              <w:t>77,08</w:t>
            </w:r>
          </w:p>
        </w:tc>
        <w:tc>
          <w:tcPr>
            <w:tcW w:type="dxa" w:w="1293"/>
          </w:tcPr>
          <w:p>
            <w:pPr>
              <w:jc w:val="center"/>
            </w:pPr>
            <w:r>
              <w:t>0,04</w:t>
            </w:r>
          </w:p>
        </w:tc>
        <w:tc>
          <w:tcPr>
            <w:tcW w:type="dxa" w:w="1293"/>
          </w:tcPr>
          <w:p>
            <w:pPr>
              <w:jc w:val="center"/>
            </w:pPr>
            <w:r>
              <w:t>0,05</w:t>
            </w:r>
          </w:p>
        </w:tc>
        <w:tc>
          <w:tcPr>
            <w:tcW w:type="dxa" w:w="2262"/>
          </w:tcPr>
          <w:p>
            <w:r>
              <w:t>Зеркало без задиров, зазор в замке 0,61 мм</w:t>
            </w:r>
          </w:p>
        </w:tc>
        <w:tc>
          <w:tcPr>
            <w:tcW w:type="dxa" w:w="1724"/>
          </w:tcPr>
          <w:p>
            <w:r>
              <w:t>В пределах нормы</w:t>
            </w:r>
          </w:p>
        </w:tc>
      </w:tr>
      <w:tr>
        <w:tc>
          <w:tcPr>
            <w:tcW w:type="dxa" w:w="862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616"/>
          </w:tcPr>
          <w:p>
            <w:pPr>
              <w:jc w:val="center"/>
            </w:pPr>
            <w:r/>
          </w:p>
        </w:tc>
        <w:tc>
          <w:tcPr>
            <w:tcW w:type="dxa" w:w="1724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2262"/>
          </w:tcPr>
          <w:p>
            <w:r/>
          </w:p>
        </w:tc>
        <w:tc>
          <w:tcPr>
            <w:tcW w:type="dxa" w:w="1724"/>
          </w:tcPr>
          <w:p>
            <w:r/>
          </w:p>
        </w:tc>
      </w:tr>
      <w:tr>
        <w:tc>
          <w:tcPr>
            <w:tcW w:type="dxa" w:w="862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1616"/>
          </w:tcPr>
          <w:p>
            <w:pPr>
              <w:jc w:val="center"/>
            </w:pPr>
            <w:r/>
          </w:p>
        </w:tc>
        <w:tc>
          <w:tcPr>
            <w:tcW w:type="dxa" w:w="1724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1293"/>
          </w:tcPr>
          <w:p>
            <w:pPr>
              <w:jc w:val="center"/>
            </w:pPr>
            <w:r/>
          </w:p>
        </w:tc>
        <w:tc>
          <w:tcPr>
            <w:tcW w:type="dxa" w:w="2262"/>
          </w:tcPr>
          <w:p>
            <w:r/>
          </w:p>
        </w:tc>
        <w:tc>
          <w:tcPr>
            <w:tcW w:type="dxa" w:w="1724"/>
          </w:tcPr>
          <w:p>
            <w:r/>
          </w:p>
        </w:tc>
      </w:tr>
    </w:tbl>
    <w:p>
      <w:r>
        <w:rPr>
          <w:color w:val="333333"/>
          <w:sz w:val="15"/>
        </w:rPr>
        <w:t>Диаметр цилиндра замеряется нутромером не менее чем в двух взаимно перпендикулярных плоскостях и в трёх поясах по высоте — иначе овальность и конусность не выявляются вовсе, а именно они, а не средний диаметр, определяют пригодность цилиндра. Номинальные размеры, допуски, пределы износа и ремонтные размеры берутся из руководства по ремонту конкретного двигателя: универсальных значений не существует, и цифры из соседнего мотора той же марки к делу не относятся.</w:t>
      </w:r>
    </w:p>
    <w:p>
      <w:pPr>
        <w:spacing w:before="120" w:after="40"/>
      </w:pPr>
      <w:r>
        <w:rPr>
          <w:b/>
          <w:sz w:val="16"/>
        </w:rPr>
        <w:t>КРИВОШИПНО-ШАТУННЫЙ МЕХАНИЗМ, ГОЛОВКА БЛОКА И ПРИВОД ГРМ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431"/>
        <w:gridCol w:w="2154"/>
        <w:gridCol w:w="2585"/>
        <w:gridCol w:w="1831"/>
        <w:gridCol w:w="1400"/>
        <w:gridCol w:w="2370"/>
      </w:tblGrid>
      <w:tr>
        <w:tc>
          <w:tcPr>
            <w:tcW w:type="dxa" w:w="4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15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Деталь, позиция</w:t>
            </w:r>
          </w:p>
        </w:tc>
        <w:tc>
          <w:tcPr>
            <w:tcW w:type="dxa" w:w="2585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Что и чем замерялось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 (предел) по руководству</w:t>
            </w:r>
          </w:p>
        </w:tc>
        <w:tc>
          <w:tcPr>
            <w:tcW w:type="dxa" w:w="140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Фактически</w:t>
            </w:r>
          </w:p>
        </w:tc>
        <w:tc>
          <w:tcPr>
            <w:tcW w:type="dxa" w:w="237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Заключение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154"/>
          </w:tcPr>
          <w:p>
            <w:r>
              <w:t>Коленчатый вал, шатунная шейка 2</w:t>
            </w:r>
          </w:p>
        </w:tc>
        <w:tc>
          <w:tcPr>
            <w:tcW w:type="dxa" w:w="2585"/>
          </w:tcPr>
          <w:p>
            <w:r>
              <w:t>Диаметр, микрометр, в двух плоскостях</w:t>
            </w:r>
          </w:p>
        </w:tc>
        <w:tc>
          <w:tcPr>
            <w:tcW w:type="dxa" w:w="1831"/>
          </w:tcPr>
          <w:p>
            <w:r>
              <w:t>45,00; овальность до 0,01</w:t>
            </w:r>
          </w:p>
        </w:tc>
        <w:tc>
          <w:tcPr>
            <w:tcW w:type="dxa" w:w="1400"/>
          </w:tcPr>
          <w:p>
            <w:r>
              <w:t>44,91; овальность 0,04</w:t>
            </w:r>
          </w:p>
        </w:tc>
        <w:tc>
          <w:tcPr>
            <w:tcW w:type="dxa" w:w="2370"/>
          </w:tcPr>
          <w:p>
            <w:r>
              <w:t>Шлифовка в 1-й ремонтный размер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154"/>
          </w:tcPr>
          <w:p>
            <w:r>
              <w:t>Коленчатый вал, коренные шейки</w:t>
            </w:r>
          </w:p>
        </w:tc>
        <w:tc>
          <w:tcPr>
            <w:tcW w:type="dxa" w:w="2585"/>
          </w:tcPr>
          <w:p>
            <w:r>
              <w:t>Диаметр, микрометр</w:t>
            </w:r>
          </w:p>
        </w:tc>
        <w:tc>
          <w:tcPr>
            <w:tcW w:type="dxa" w:w="1831"/>
          </w:tcPr>
          <w:p>
            <w:r>
              <w:t>50,00; овальность до 0,01</w:t>
            </w:r>
          </w:p>
        </w:tc>
        <w:tc>
          <w:tcPr>
            <w:tcW w:type="dxa" w:w="1400"/>
          </w:tcPr>
          <w:p>
            <w:r>
              <w:t>49,98; овальность 0,01</w:t>
            </w:r>
          </w:p>
        </w:tc>
        <w:tc>
          <w:tcPr>
            <w:tcW w:type="dxa" w:w="2370"/>
          </w:tcPr>
          <w:p>
            <w:r>
              <w:t>В пределах нормы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154"/>
          </w:tcPr>
          <w:p>
            <w:r>
              <w:t>Коленчатый вал</w:t>
            </w:r>
          </w:p>
        </w:tc>
        <w:tc>
          <w:tcPr>
            <w:tcW w:type="dxa" w:w="2585"/>
          </w:tcPr>
          <w:p>
            <w:r>
              <w:t>Биение, индикатор на призмах</w:t>
            </w:r>
          </w:p>
        </w:tc>
        <w:tc>
          <w:tcPr>
            <w:tcW w:type="dxa" w:w="1831"/>
          </w:tcPr>
          <w:p>
            <w:r>
              <w:t>не более 0,03</w:t>
            </w:r>
          </w:p>
        </w:tc>
        <w:tc>
          <w:tcPr>
            <w:tcW w:type="dxa" w:w="1400"/>
          </w:tcPr>
          <w:p>
            <w:r>
              <w:t>0,02</w:t>
            </w:r>
          </w:p>
        </w:tc>
        <w:tc>
          <w:tcPr>
            <w:tcW w:type="dxa" w:w="2370"/>
          </w:tcPr>
          <w:p>
            <w:r>
              <w:t>В пределах нормы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154"/>
          </w:tcPr>
          <w:p>
            <w:r>
              <w:t>Вкладыши шатунные, цилиндр 2</w:t>
            </w:r>
          </w:p>
        </w:tc>
        <w:tc>
          <w:tcPr>
            <w:tcW w:type="dxa" w:w="2585"/>
          </w:tcPr>
          <w:p>
            <w:r>
              <w:t>Осмотр</w:t>
            </w:r>
          </w:p>
        </w:tc>
        <w:tc>
          <w:tcPr>
            <w:tcW w:type="dxa" w:w="1831"/>
          </w:tcPr>
          <w:p>
            <w:r>
              <w:t>без задиров и выкрашивания</w:t>
            </w:r>
          </w:p>
        </w:tc>
        <w:tc>
          <w:tcPr>
            <w:tcW w:type="dxa" w:w="1400"/>
          </w:tcPr>
          <w:p>
            <w:r>
              <w:t>проворот, выкрашивание слоя</w:t>
            </w:r>
          </w:p>
        </w:tc>
        <w:tc>
          <w:tcPr>
            <w:tcW w:type="dxa" w:w="2370"/>
          </w:tcPr>
          <w:p>
            <w:r>
              <w:t>Замена, дефект необратимый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154"/>
          </w:tcPr>
          <w:p>
            <w:r>
              <w:t>Шатун цилиндра 2</w:t>
            </w:r>
          </w:p>
        </w:tc>
        <w:tc>
          <w:tcPr>
            <w:tcW w:type="dxa" w:w="2585"/>
          </w:tcPr>
          <w:p>
            <w:r>
              <w:t>Осмотр, контроль изгиба и скручивания</w:t>
            </w:r>
          </w:p>
        </w:tc>
        <w:tc>
          <w:tcPr>
            <w:tcW w:type="dxa" w:w="1831"/>
          </w:tcPr>
          <w:p>
            <w:r>
              <w:t>без деформации</w:t>
            </w:r>
          </w:p>
        </w:tc>
        <w:tc>
          <w:tcPr>
            <w:tcW w:type="dxa" w:w="1400"/>
          </w:tcPr>
          <w:p>
            <w:r>
              <w:t>деформации не выявлено</w:t>
            </w:r>
          </w:p>
        </w:tc>
        <w:tc>
          <w:tcPr>
            <w:tcW w:type="dxa" w:w="2370"/>
          </w:tcPr>
          <w:p>
            <w:r>
              <w:t>Годен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154"/>
          </w:tcPr>
          <w:p>
            <w:r>
              <w:t>Головка блока, плоскость прилегания</w:t>
            </w:r>
          </w:p>
        </w:tc>
        <w:tc>
          <w:tcPr>
            <w:tcW w:type="dxa" w:w="2585"/>
          </w:tcPr>
          <w:p>
            <w:r>
              <w:t>Поверочная линейка и щуп</w:t>
            </w:r>
          </w:p>
        </w:tc>
        <w:tc>
          <w:tcPr>
            <w:tcW w:type="dxa" w:w="1831"/>
          </w:tcPr>
          <w:p>
            <w:r>
              <w:t>неплоскостность до 0,05</w:t>
            </w:r>
          </w:p>
        </w:tc>
        <w:tc>
          <w:tcPr>
            <w:tcW w:type="dxa" w:w="1400"/>
          </w:tcPr>
          <w:p>
            <w:r>
              <w:t>0,04</w:t>
            </w:r>
          </w:p>
        </w:tc>
        <w:tc>
          <w:tcPr>
            <w:tcW w:type="dxa" w:w="2370"/>
          </w:tcPr>
          <w:p>
            <w:r>
              <w:t>В пределах нормы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154"/>
          </w:tcPr>
          <w:p>
            <w:r>
              <w:t>Головка блока</w:t>
            </w:r>
          </w:p>
        </w:tc>
        <w:tc>
          <w:tcPr>
            <w:tcW w:type="dxa" w:w="2585"/>
          </w:tcPr>
          <w:p>
            <w:r>
              <w:t>Опрессовка</w:t>
            </w:r>
          </w:p>
        </w:tc>
        <w:tc>
          <w:tcPr>
            <w:tcW w:type="dxa" w:w="1831"/>
          </w:tcPr>
          <w:p>
            <w:r>
              <w:t>герметична</w:t>
            </w:r>
          </w:p>
        </w:tc>
        <w:tc>
          <w:tcPr>
            <w:tcW w:type="dxa" w:w="1400"/>
          </w:tcPr>
          <w:p>
            <w:r>
              <w:t>герметична, трещин нет</w:t>
            </w:r>
          </w:p>
        </w:tc>
        <w:tc>
          <w:tcPr>
            <w:tcW w:type="dxa" w:w="2370"/>
          </w:tcPr>
          <w:p>
            <w:r>
              <w:t>Годна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154"/>
          </w:tcPr>
          <w:p>
            <w:r>
              <w:t>Клапаны и сёдла</w:t>
            </w:r>
          </w:p>
        </w:tc>
        <w:tc>
          <w:tcPr>
            <w:tcW w:type="dxa" w:w="2585"/>
          </w:tcPr>
          <w:p>
            <w:r>
              <w:t>Осмотр, замер фаски, проверка герметичности</w:t>
            </w:r>
          </w:p>
        </w:tc>
        <w:tc>
          <w:tcPr>
            <w:tcW w:type="dxa" w:w="1831"/>
          </w:tcPr>
          <w:p>
            <w:r>
              <w:t>без прогара, герметичны</w:t>
            </w:r>
          </w:p>
        </w:tc>
        <w:tc>
          <w:tcPr>
            <w:tcW w:type="dxa" w:w="1400"/>
          </w:tcPr>
          <w:p>
            <w:r>
              <w:t>нагар, герметичность в норме</w:t>
            </w:r>
          </w:p>
        </w:tc>
        <w:tc>
          <w:tcPr>
            <w:tcW w:type="dxa" w:w="2370"/>
          </w:tcPr>
          <w:p>
            <w:r>
              <w:t>Годны после притирки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2154"/>
          </w:tcPr>
          <w:p>
            <w:r>
              <w:t>Маслонасос</w:t>
            </w:r>
          </w:p>
        </w:tc>
        <w:tc>
          <w:tcPr>
            <w:tcW w:type="dxa" w:w="2585"/>
          </w:tcPr>
          <w:p>
            <w:r>
              <w:t>Замер зазоров, осмотр</w:t>
            </w:r>
          </w:p>
        </w:tc>
        <w:tc>
          <w:tcPr>
            <w:tcW w:type="dxa" w:w="1831"/>
          </w:tcPr>
          <w:p>
            <w:r>
              <w:t>по руководству</w:t>
            </w:r>
          </w:p>
        </w:tc>
        <w:tc>
          <w:tcPr>
            <w:tcW w:type="dxa" w:w="1400"/>
          </w:tcPr>
          <w:p>
            <w:r>
              <w:t>зазор шестерён выше предела</w:t>
            </w:r>
          </w:p>
        </w:tc>
        <w:tc>
          <w:tcPr>
            <w:tcW w:type="dxa" w:w="2370"/>
          </w:tcPr>
          <w:p>
            <w:r>
              <w:t>Замена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154"/>
          </w:tcPr>
          <w:p>
            <w:r>
              <w:t>Цепь ГРМ и натяжитель</w:t>
            </w:r>
          </w:p>
        </w:tc>
        <w:tc>
          <w:tcPr>
            <w:tcW w:type="dxa" w:w="2585"/>
          </w:tcPr>
          <w:p>
            <w:r>
              <w:t>Замер удлинения, осмотр башмаков</w:t>
            </w:r>
          </w:p>
        </w:tc>
        <w:tc>
          <w:tcPr>
            <w:tcW w:type="dxa" w:w="1831"/>
          </w:tcPr>
          <w:p>
            <w:r>
              <w:t>по руководству</w:t>
            </w:r>
          </w:p>
        </w:tc>
        <w:tc>
          <w:tcPr>
            <w:tcW w:type="dxa" w:w="1400"/>
          </w:tcPr>
          <w:p>
            <w:r>
              <w:t>удлинение выше предела, износ башмака</w:t>
            </w:r>
          </w:p>
        </w:tc>
        <w:tc>
          <w:tcPr>
            <w:tcW w:type="dxa" w:w="2370"/>
          </w:tcPr>
          <w:p>
            <w:r>
              <w:t>Замена комплектом</w:t>
            </w:r>
          </w:p>
        </w:tc>
      </w:tr>
    </w:tbl>
    <w:p>
      <w:pPr>
        <w:spacing w:before="120" w:after="40"/>
      </w:pPr>
      <w:r>
        <w:rPr>
          <w:b/>
          <w:sz w:val="16"/>
        </w:rPr>
        <w:t>ПРИЧИНЫ ВОЗНИКНОВЕНИЯ ДЕФЕКТОВ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3232"/>
        <w:gridCol w:w="3770"/>
        <w:gridCol w:w="3232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32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Дефект (позиция выше)</w:t>
            </w:r>
          </w:p>
        </w:tc>
        <w:tc>
          <w:tcPr>
            <w:tcW w:type="dxa" w:w="377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Установленная причина</w:t>
            </w:r>
          </w:p>
        </w:tc>
        <w:tc>
          <w:tcPr>
            <w:tcW w:type="dxa" w:w="32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 чём основан вывод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3232"/>
          </w:tcPr>
          <w:p>
            <w:r>
              <w:t>Проворот вкладышей, поз. 4</w:t>
            </w:r>
          </w:p>
        </w:tc>
        <w:tc>
          <w:tcPr>
            <w:tcW w:type="dxa" w:w="3770"/>
          </w:tcPr>
          <w:p>
            <w:r>
              <w:t>Масляное голодание шатунной шейки 2</w:t>
            </w:r>
          </w:p>
        </w:tc>
        <w:tc>
          <w:tcPr>
            <w:tcW w:type="dxa" w:w="3232"/>
          </w:tcPr>
          <w:p>
            <w:r>
              <w:t>Давление масла 2,1 бар при норме от 3,0; износ шестерён маслонасоса выше предела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3232"/>
          </w:tcPr>
          <w:p>
            <w:r>
              <w:t>Задиры зеркала цилиндра 2, поз. по ЦПГ</w:t>
            </w:r>
          </w:p>
        </w:tc>
        <w:tc>
          <w:tcPr>
            <w:tcW w:type="dxa" w:w="3770"/>
          </w:tcPr>
          <w:p>
            <w:r>
              <w:t>Следствие поз. 1 — разрушение слоя вкладыша и попадание продуктов износа</w:t>
            </w:r>
          </w:p>
        </w:tc>
        <w:tc>
          <w:tcPr>
            <w:tcW w:type="dxa" w:w="3232"/>
          </w:tcPr>
          <w:p>
            <w:r>
              <w:t>Металлическая стружка на магнитной пробке, характер задиров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3232"/>
          </w:tcPr>
          <w:p>
            <w:r>
              <w:t>Износ цепи и башмаков ГРМ, поз. 10</w:t>
            </w:r>
          </w:p>
        </w:tc>
        <w:tc>
          <w:tcPr>
            <w:tcW w:type="dxa" w:w="3770"/>
          </w:tcPr>
          <w:p>
            <w:r>
              <w:t>Эксплуатационный износ при пробеге 218 400 км</w:t>
            </w:r>
          </w:p>
        </w:tc>
        <w:tc>
          <w:tcPr>
            <w:tcW w:type="dxa" w:w="3232"/>
          </w:tcPr>
          <w:p>
            <w:r>
              <w:t>Удлинение цепи выше предела, равномерный износ башмаков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3232"/>
          </w:tcPr>
          <w:p>
            <w:r/>
          </w:p>
        </w:tc>
        <w:tc>
          <w:tcPr>
            <w:tcW w:type="dxa" w:w="3770"/>
          </w:tcPr>
          <w:p>
            <w:r/>
          </w:p>
        </w:tc>
        <w:tc>
          <w:tcPr>
            <w:tcW w:type="dxa" w:w="3232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3232"/>
          </w:tcPr>
          <w:p>
            <w:r/>
          </w:p>
        </w:tc>
        <w:tc>
          <w:tcPr>
            <w:tcW w:type="dxa" w:w="3770"/>
          </w:tcPr>
          <w:p>
            <w:r/>
          </w:p>
        </w:tc>
        <w:tc>
          <w:tcPr>
            <w:tcW w:type="dxa" w:w="3232"/>
          </w:tcPr>
          <w:p>
            <w:r/>
          </w:p>
        </w:tc>
      </w:tr>
    </w:tbl>
    <w:p>
      <w:r>
        <w:rPr>
          <w:color w:val="333333"/>
          <w:sz w:val="15"/>
        </w:rPr>
        <w:t>Причина указывается только там, где она установлена замером, разборкой или связью с другим дефектом, и графа «на чём основан вывод» существует именно для этого. «Вероятно, перегрев» и «предположительно, некачественное масло» в акт не идут: причина, написанная наугад, роняет достоверность всего документа, а «производственный дефект» без оснований — это уже утверждение против завода-изготовителя.</w:t>
      </w:r>
    </w:p>
    <w:p>
      <w:pPr>
        <w:spacing w:before="120" w:after="40"/>
      </w:pPr>
      <w:r>
        <w:rPr>
          <w:b/>
          <w:sz w:val="16"/>
        </w:rPr>
        <w:t>ЗАКЛЮЧЕНИЕ О ПРИГОДНОСТИ ДВИГАТЕЛЯ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Блок цилиндров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Коленчатый вал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Головка блока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пригоден после расточки в 1-й ремонтный размер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пригоден после шлифовки в 1-й ремонтный размер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пригодна, требуется притирка клапанов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Принятые ремонтные размеры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Требуется дополнительная дефектовка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Снятые детали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цилиндры +0,25 мм, шатунные шейки −0,25 мм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нет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поршни, вкладыши и цепь ГРМ переданы заказчику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ЗАКЛЮЧЕНИЕ ПО РЕЗУЛЬТАТАМ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>
              <w:t>Первичный дефект — падение давления в системе смазки из-за износа маслонасоса; следствием стал проворот шатунных вкладышей второго цилиндра, повреждение шатунной шейки коленчатого вала и задиры зеркала второго цилиндра. Двигатель подлежит восстановлению: расточка блока в первый ремонтный размер, шлифовка коленчатого вала в первый ремонтный размер, замена маслонасоса, вкладышей, поршневой группы и цепи ГРМ комплектом. Эксплуатация до восстановления невозможна. Стоимость работ и деталей настоящим актом не определяется.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Стоимость восстановления настоящим актом не определяется и оформляется дефектовочной ведомостью, сметой или заказ-нарядом. Снятые детали хранятся до решения заказчика об их судьбе; место и срок хранения указываются в акте.</w:t>
      </w:r>
    </w:p>
    <w:p>
      <w:r>
        <w:rPr>
          <w:sz w:val="15"/>
        </w:rPr>
        <w:t>Дефектовка проведена в присутствии заказчика или его представителя. С замерами, выявленными дефектами, установленными причинами и заключением о пригодности деталей ознакомлен, экземпляр акта получен.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дефектовку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второго участника</w:t>
            </w:r>
          </w:p>
        </w:tc>
        <w:tc>
          <w:tcPr>
            <w:tcW w:type="dxa" w:w="3591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заказчика или представителя, Ф. И. О.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Моторист Сидоров В. Н. ____________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Мастер-приёмщик Гусев П. А. ____________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>
              <w:t>____________ Никитин С. В.</w:t>
            </w:r>
          </w:p>
        </w:tc>
      </w:tr>
    </w:tbl>
    <w:p>
      <w:r>
        <w:rPr>
          <w:color w:val="666666"/>
          <w:sz w:val="14"/>
        </w:rPr>
        <w:t>Утверждённой формы акта дефектовки не существует: формы первичных учётных документов утверждает руководитель экономического субъекта (ч. 4 ст. 9 Федерального закона от 06.12.2011 № 402-ФЗ), унифицированные формы с 2013 года необязательны, обязательны только реквизиты из ч. 2 той же статьи. Номинальные размеры, допуски, пределы износа и ремонтные размеры берутся из руководства по ремонту конкретного двигателя — универсальных значений не существует. Акт констатирует состояние деталей и не определяет стоимость их восстановления. Разбор каждой графы — car9.ru/dokumenty/defektovka-dvigatelya</w:t>
      </w:r>
    </w:p>
    <w:sectPr w:rsidR="00FC693F" w:rsidRPr="0006063C" w:rsidSect="00034616">
      <w:pgSz w:w="11906" w:h="16838"/>
      <w:pgMar w:top="624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